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DB" w:rsidRPr="00194740" w:rsidRDefault="00BE5BDB">
      <w:pPr>
        <w:pStyle w:val="CMT"/>
        <w:rPr>
          <w:rStyle w:val="Strong"/>
        </w:rPr>
      </w:pPr>
      <w:r w:rsidRPr="00194740">
        <w:rPr>
          <w:rStyle w:val="Strong"/>
        </w:rPr>
        <w:t>Copyright 2002 and 2005 (R 05/03), The American Institute of Architects (AIA)</w:t>
      </w:r>
    </w:p>
    <w:p w:rsidR="00BE5BDB" w:rsidRPr="00194740" w:rsidRDefault="00BE5BDB">
      <w:pPr>
        <w:pStyle w:val="SCT"/>
        <w:rPr>
          <w:rStyle w:val="Strong"/>
        </w:rPr>
      </w:pPr>
      <w:r w:rsidRPr="00194740">
        <w:rPr>
          <w:rStyle w:val="Strong"/>
        </w:rPr>
        <w:t>SECTION 099646 - INTUMESCENT PAINTING</w:t>
      </w:r>
    </w:p>
    <w:p w:rsidR="00BE5BDB" w:rsidRPr="00194740" w:rsidRDefault="00BE5BDB">
      <w:pPr>
        <w:pStyle w:val="CMT"/>
        <w:rPr>
          <w:rStyle w:val="Strong"/>
        </w:rPr>
      </w:pPr>
      <w:r w:rsidRPr="00194740">
        <w:rPr>
          <w:rStyle w:val="Strong"/>
        </w:rPr>
        <w:t>This Section uses the term "</w:t>
      </w:r>
      <w:r w:rsidR="00E24355" w:rsidRPr="00194740">
        <w:rPr>
          <w:rStyle w:val="Strong"/>
        </w:rPr>
        <w:t>Contracting Officer</w:t>
      </w:r>
      <w:r w:rsidRPr="00194740">
        <w:rPr>
          <w:rStyle w:val="Strong"/>
        </w:rPr>
        <w:t>."  Change this term to match that used to identify the design professional as defined in the General and Supplementary Conditions.</w:t>
      </w:r>
    </w:p>
    <w:p w:rsidR="00BE5BDB" w:rsidRPr="00194740" w:rsidRDefault="00BE5BDB">
      <w:pPr>
        <w:pStyle w:val="CMT"/>
        <w:rPr>
          <w:rStyle w:val="Strong"/>
        </w:rPr>
      </w:pPr>
      <w:r w:rsidRPr="00194740">
        <w:rPr>
          <w:rStyle w:val="Strong"/>
        </w:rPr>
        <w:t>Verify that Section titles referenced in this Section are correct for this Project's Specifications; Section titles may have changed.</w:t>
      </w:r>
    </w:p>
    <w:p w:rsidR="00BE5BDB" w:rsidRPr="00194740" w:rsidRDefault="00BE5BDB">
      <w:pPr>
        <w:pStyle w:val="PRT"/>
        <w:rPr>
          <w:rStyle w:val="Strong"/>
        </w:rPr>
      </w:pPr>
      <w:r w:rsidRPr="00194740">
        <w:rPr>
          <w:rStyle w:val="Strong"/>
        </w:rPr>
        <w:t>GENERAL</w:t>
      </w:r>
    </w:p>
    <w:p w:rsidR="00BE5BDB" w:rsidRPr="00194740" w:rsidRDefault="00BE5BDB">
      <w:pPr>
        <w:pStyle w:val="ART"/>
        <w:rPr>
          <w:rStyle w:val="Strong"/>
        </w:rPr>
      </w:pPr>
      <w:r w:rsidRPr="00194740">
        <w:rPr>
          <w:rStyle w:val="Strong"/>
        </w:rPr>
        <w:t>RELATED DOCUMENTS</w:t>
      </w:r>
    </w:p>
    <w:p w:rsidR="00BE5BDB" w:rsidRDefault="00BE5BDB">
      <w:pPr>
        <w:pStyle w:val="PR1"/>
      </w:pPr>
      <w:r>
        <w:t>Drawings and general provisions of the Contract, including General and Supplementary Conditions and Division 01 Specification Sections, apply to this Section.</w:t>
      </w:r>
    </w:p>
    <w:p w:rsidR="00BE5BDB" w:rsidRPr="00194740" w:rsidRDefault="00BE5BDB">
      <w:pPr>
        <w:pStyle w:val="ART"/>
        <w:rPr>
          <w:rStyle w:val="Strong"/>
        </w:rPr>
      </w:pPr>
      <w:r w:rsidRPr="00194740">
        <w:rPr>
          <w:rStyle w:val="Strong"/>
        </w:rPr>
        <w:t>SUMMARY</w:t>
      </w:r>
    </w:p>
    <w:p w:rsidR="00BE5BDB" w:rsidRDefault="00BE5BDB">
      <w:pPr>
        <w:pStyle w:val="PR1"/>
      </w:pPr>
      <w:r>
        <w:t>This Section includes surface preparation and application of fire-retardant intumescent paint to [</w:t>
      </w:r>
      <w:r>
        <w:rPr>
          <w:b/>
        </w:rPr>
        <w:t>interior</w:t>
      </w:r>
      <w:r>
        <w:t>] [</w:t>
      </w:r>
      <w:r>
        <w:rPr>
          <w:b/>
        </w:rPr>
        <w:t>and</w:t>
      </w:r>
      <w:r>
        <w:t>] [</w:t>
      </w:r>
      <w:r>
        <w:rPr>
          <w:b/>
        </w:rPr>
        <w:t>exterior</w:t>
      </w:r>
      <w:r>
        <w:t>] items and surfaces</w:t>
      </w:r>
      <w:r w:rsidR="00AE0707">
        <w:t xml:space="preserve"> in order to reduce their flame spread rate and smoke developed rate to levels required by the Life Safety Code</w:t>
      </w:r>
      <w:r>
        <w:t>.</w:t>
      </w:r>
      <w:r w:rsidR="00AE0707">
        <w:t xml:space="preserve"> This Section does </w:t>
      </w:r>
      <w:r w:rsidR="00AE0707" w:rsidRPr="00AE0707">
        <w:rPr>
          <w:u w:val="single"/>
        </w:rPr>
        <w:t>not</w:t>
      </w:r>
      <w:r w:rsidR="00AE0707">
        <w:t xml:space="preserve"> apply to intumescent coats applied to structural elements to achieve a specified fire resistance rating.</w:t>
      </w:r>
    </w:p>
    <w:p w:rsidR="00BE5BDB" w:rsidRDefault="00BE5BDB">
      <w:pPr>
        <w:pStyle w:val="PR2"/>
        <w:spacing w:before="240"/>
      </w:pPr>
      <w:r>
        <w:t>Surface preparation, priming, and finish coats specified in this Section are in addition to shop priming and surface treatment specified in other Sections.</w:t>
      </w:r>
    </w:p>
    <w:p w:rsidR="00BE5BDB" w:rsidRDefault="00BE5BDB">
      <w:pPr>
        <w:pStyle w:val="PR1"/>
      </w:pPr>
      <w:r>
        <w:t>Related Sections include the following:</w:t>
      </w:r>
    </w:p>
    <w:p w:rsidR="00BE5BDB" w:rsidRDefault="00BE5BDB">
      <w:pPr>
        <w:pStyle w:val="CMT"/>
      </w:pPr>
      <w:r>
        <w:t>List below only products that the reader might expect to find in this Section but are specified elsewhere.</w:t>
      </w:r>
    </w:p>
    <w:p w:rsidR="00BE5BDB" w:rsidRDefault="00BE5BDB">
      <w:pPr>
        <w:pStyle w:val="PR2"/>
        <w:spacing w:before="240"/>
      </w:pPr>
      <w:r>
        <w:t>Division 01 Section "Sustainable Design Requirements" for additional LEED requirements.</w:t>
      </w:r>
    </w:p>
    <w:p w:rsidR="00BE5BDB" w:rsidRDefault="00BE5BDB">
      <w:pPr>
        <w:pStyle w:val="PR2"/>
      </w:pPr>
      <w:r>
        <w:t>Division 07 Section "Applied Fireproofing" for fire-resistance-rated intumescent mastic materials.</w:t>
      </w:r>
    </w:p>
    <w:p w:rsidR="00BE5BDB" w:rsidRDefault="00BE5BDB">
      <w:pPr>
        <w:pStyle w:val="PR2"/>
      </w:pPr>
      <w:r>
        <w:t>Division 09 painting Sections for primers, finish coats, and wood stains that may be used with intumescent paint finishes.</w:t>
      </w:r>
    </w:p>
    <w:p w:rsidR="00BE5BDB" w:rsidRDefault="00BE5BDB">
      <w:pPr>
        <w:pStyle w:val="PR2"/>
      </w:pPr>
      <w:r>
        <w:t>Division 09 Section "High-Temperature-Resistant Coatings" for special coatings designed to protect steel from extremely high temperatures.</w:t>
      </w:r>
    </w:p>
    <w:p w:rsidR="00BE5BDB" w:rsidRDefault="00BE5BDB">
      <w:pPr>
        <w:pStyle w:val="CMT"/>
      </w:pPr>
      <w:r>
        <w:t>Retain paragraph below if alternates are specified in Division 01 Section for Work in this Section.</w:t>
      </w:r>
    </w:p>
    <w:p w:rsidR="00BE5BDB" w:rsidRDefault="00BE5BDB">
      <w:pPr>
        <w:pStyle w:val="PR1"/>
      </w:pPr>
      <w:r>
        <w:t>Alternates:  Refer to Division 01 Section "Alternates" for description of Work in this Section affected by alternates.</w:t>
      </w:r>
    </w:p>
    <w:p w:rsidR="00BE5BDB" w:rsidRPr="00194740" w:rsidRDefault="00BE5BDB">
      <w:pPr>
        <w:pStyle w:val="ART"/>
        <w:rPr>
          <w:rStyle w:val="Strong"/>
        </w:rPr>
      </w:pPr>
      <w:r w:rsidRPr="00194740">
        <w:rPr>
          <w:rStyle w:val="Strong"/>
        </w:rPr>
        <w:t>SUBMITTALS</w:t>
      </w:r>
    </w:p>
    <w:p w:rsidR="00BE5BDB" w:rsidRDefault="00BE5BDB">
      <w:pPr>
        <w:pStyle w:val="CMT"/>
      </w:pPr>
      <w:r>
        <w:t>Revise first paragraph and subparagraphs below to suit Project and products required.</w:t>
      </w:r>
    </w:p>
    <w:p w:rsidR="00BE5BDB" w:rsidRDefault="00BE5BDB">
      <w:pPr>
        <w:pStyle w:val="PR1"/>
      </w:pPr>
      <w:r>
        <w:t>Product Data:  For each type of product indicated.</w:t>
      </w:r>
    </w:p>
    <w:p w:rsidR="00BE5BDB" w:rsidRDefault="00BE5BDB">
      <w:pPr>
        <w:pStyle w:val="PR2"/>
        <w:spacing w:before="240"/>
      </w:pPr>
      <w:r>
        <w:t>Material List:  Provide an inclusive list of required intumescent paint materials.  Indicate each material and cross-reference specific coating, finish system, and application.  Identify each material by manufacturer's catalog number and general classification.</w:t>
      </w:r>
    </w:p>
    <w:p w:rsidR="00BE5BDB" w:rsidRDefault="00BE5BDB">
      <w:pPr>
        <w:pStyle w:val="PR2"/>
      </w:pPr>
      <w:r>
        <w:t>Manufacturer's Information:  Provide manufacturer's technical information, including label analysis and instructions for handling, storing, and applying intumescent paint materials.</w:t>
      </w:r>
    </w:p>
    <w:p w:rsidR="00BE5BDB" w:rsidRDefault="00BE5BDB">
      <w:pPr>
        <w:pStyle w:val="PR1"/>
      </w:pPr>
      <w:r>
        <w:t>Samples for Initial Selection:  Manufacturer's color charts showing the full range of colors available for each intumescent paint finish indicated.</w:t>
      </w:r>
    </w:p>
    <w:p w:rsidR="00BE5BDB" w:rsidRDefault="00BE5BDB">
      <w:pPr>
        <w:pStyle w:val="CMT"/>
      </w:pPr>
      <w:r>
        <w:lastRenderedPageBreak/>
        <w:t xml:space="preserve">Revise subparagraph below if </w:t>
      </w:r>
      <w:r w:rsidR="00E24355">
        <w:t>Contracting Officer</w:t>
      </w:r>
      <w:r>
        <w:t xml:space="preserve"> reserves the right to make final color selection from field-applied Samples.</w:t>
      </w:r>
    </w:p>
    <w:p w:rsidR="00BE5BDB" w:rsidRDefault="00BE5BDB">
      <w:pPr>
        <w:pStyle w:val="PR2"/>
        <w:spacing w:before="240"/>
      </w:pPr>
      <w:r>
        <w:t xml:space="preserve">After color selection, </w:t>
      </w:r>
      <w:r w:rsidR="00E24355">
        <w:t>Contracting Officer</w:t>
      </w:r>
      <w:r>
        <w:t xml:space="preserve"> will furnish color chips for surfaces to be coated.</w:t>
      </w:r>
    </w:p>
    <w:p w:rsidR="00BE5BDB" w:rsidRDefault="00BE5BDB">
      <w:pPr>
        <w:pStyle w:val="CMT"/>
      </w:pPr>
      <w:r>
        <w:t>Delete paragraph and subparagraph above if colors are preselected and specified or scheduled.  Retain paragraph and subparagraphs below with or without above.</w:t>
      </w:r>
    </w:p>
    <w:p w:rsidR="00BE5BDB" w:rsidRDefault="00BE5BDB">
      <w:pPr>
        <w:pStyle w:val="PR1"/>
      </w:pPr>
      <w:r>
        <w:t>Samples for Verification:  For each color to be applied, with texture to simulate actual conditions, on representative Samples of actual substrate.</w:t>
      </w:r>
    </w:p>
    <w:p w:rsidR="00BE5BDB" w:rsidRDefault="00BE5BDB">
      <w:pPr>
        <w:pStyle w:val="PR2"/>
        <w:spacing w:before="240"/>
      </w:pPr>
      <w:r>
        <w:t>Provide stepped Samples, defining each separate coat, including primers and finish coats.  Use representative colors when preparing Samples for review.  Resubmit until required sheen, color, and texture are achieved.</w:t>
      </w:r>
    </w:p>
    <w:p w:rsidR="00BE5BDB" w:rsidRDefault="00BE5BDB">
      <w:pPr>
        <w:pStyle w:val="PR2"/>
      </w:pPr>
      <w:r>
        <w:t>Provide a list of materials and applications for each coat of each finish Sample.  Label each Sample for location and application.</w:t>
      </w:r>
    </w:p>
    <w:p w:rsidR="00BE5BDB" w:rsidRDefault="00BE5BDB">
      <w:pPr>
        <w:pStyle w:val="PR2"/>
      </w:pPr>
      <w:r>
        <w:t>Submit &lt;</w:t>
      </w:r>
      <w:r>
        <w:rPr>
          <w:b/>
        </w:rPr>
        <w:t>Insert number</w:t>
      </w:r>
      <w:r>
        <w:t xml:space="preserve">&gt; Samples on the following substrates for </w:t>
      </w:r>
      <w:r w:rsidR="00E24355">
        <w:t>Contracting Officer</w:t>
      </w:r>
      <w:r>
        <w:t>'s review of color and texture only:</w:t>
      </w:r>
    </w:p>
    <w:p w:rsidR="00BE5BDB" w:rsidRDefault="00BE5BDB">
      <w:pPr>
        <w:pStyle w:val="CMT"/>
      </w:pPr>
      <w:r>
        <w:t>Select sample submittals from subparagraphs below.  Add other substrates or special requirements to suit Project.</w:t>
      </w:r>
    </w:p>
    <w:p w:rsidR="00BE5BDB" w:rsidRDefault="00BE5BDB">
      <w:pPr>
        <w:pStyle w:val="PR3"/>
        <w:spacing w:before="240"/>
      </w:pPr>
      <w:r>
        <w:t>Painted Wood:  [</w:t>
      </w:r>
      <w:r w:rsidR="00457FD0">
        <w:rPr>
          <w:rStyle w:val="SI"/>
          <w:b/>
        </w:rPr>
        <w:t>300-mm-</w:t>
      </w:r>
      <w:r w:rsidR="00457FD0">
        <w:rPr>
          <w:rStyle w:val="IP"/>
          <w:b/>
        </w:rPr>
        <w:t xml:space="preserve"> (</w:t>
      </w:r>
      <w:r>
        <w:rPr>
          <w:rStyle w:val="IP"/>
          <w:b/>
        </w:rPr>
        <w:t>12-inch-</w:t>
      </w:r>
      <w:r>
        <w:rPr>
          <w:rStyle w:val="SI"/>
          <w:b/>
        </w:rPr>
        <w:t>)</w:t>
      </w:r>
      <w:r>
        <w:t>] &lt;</w:t>
      </w:r>
      <w:r>
        <w:rPr>
          <w:b/>
        </w:rPr>
        <w:t>Insert size</w:t>
      </w:r>
      <w:r>
        <w:t>&gt; square Samples of each color and material on hardboard.</w:t>
      </w:r>
    </w:p>
    <w:p w:rsidR="00BE5BDB" w:rsidRDefault="00BE5BDB">
      <w:pPr>
        <w:pStyle w:val="PR3"/>
      </w:pPr>
      <w:r>
        <w:t>Stained or Natural Wood:  [</w:t>
      </w:r>
      <w:r w:rsidR="00457FD0">
        <w:rPr>
          <w:rStyle w:val="SI"/>
          <w:b/>
        </w:rPr>
        <w:t>100-by-200-mm</w:t>
      </w:r>
      <w:r w:rsidR="00457FD0">
        <w:rPr>
          <w:rStyle w:val="IP"/>
          <w:b/>
        </w:rPr>
        <w:t xml:space="preserve"> (</w:t>
      </w:r>
      <w:r>
        <w:rPr>
          <w:rStyle w:val="IP"/>
          <w:b/>
        </w:rPr>
        <w:t>4-by-8-inch</w:t>
      </w:r>
      <w:r>
        <w:rPr>
          <w:rStyle w:val="SI"/>
          <w:b/>
        </w:rPr>
        <w:t>)</w:t>
      </w:r>
      <w:r>
        <w:t>] &lt;</w:t>
      </w:r>
      <w:r>
        <w:rPr>
          <w:b/>
        </w:rPr>
        <w:t>Insert size</w:t>
      </w:r>
      <w:r>
        <w:t>&gt; Samples of natural or stained wood finish on representative &lt;</w:t>
      </w:r>
      <w:r>
        <w:rPr>
          <w:b/>
        </w:rPr>
        <w:t>Insert species of wood to be used</w:t>
      </w:r>
      <w:r>
        <w:t>&gt; surfaces.</w:t>
      </w:r>
    </w:p>
    <w:p w:rsidR="00BE5BDB" w:rsidRDefault="00BE5BDB">
      <w:pPr>
        <w:pStyle w:val="CMT"/>
      </w:pPr>
      <w:r>
        <w:t>Retain paragraph and subparagraph below if low-emitting materials are required for LEED Credit EQ 4.2; coordinate with requirements selected in Part 2 for paints and coatings.</w:t>
      </w:r>
    </w:p>
    <w:p w:rsidR="00BE5BDB" w:rsidRDefault="00BE5BDB">
      <w:pPr>
        <w:pStyle w:val="PR1"/>
      </w:pPr>
      <w:r>
        <w:t>LEED Submittals:</w:t>
      </w:r>
    </w:p>
    <w:p w:rsidR="00BE5BDB" w:rsidRDefault="00BE5BDB">
      <w:pPr>
        <w:pStyle w:val="PR2"/>
        <w:spacing w:before="240"/>
      </w:pPr>
      <w:r>
        <w:t>Credit EQ 4.2:  Manufacturers' product data for paints and coatings, including printed statement of VOC content and chemical components and material safety data sheets.</w:t>
      </w:r>
    </w:p>
    <w:p w:rsidR="00BE5BDB" w:rsidRDefault="00BE5BDB">
      <w:pPr>
        <w:pStyle w:val="CMT"/>
      </w:pPr>
      <w:r>
        <w:t>Coordinate first paragraph below with qualification requirements in Division 01 Section "Qualification Requirements" and as supplemented in "Quality Assurance" Article.</w:t>
      </w:r>
    </w:p>
    <w:p w:rsidR="00BE5BDB" w:rsidRDefault="00BE5BDB">
      <w:pPr>
        <w:pStyle w:val="PR1"/>
      </w:pPr>
      <w:r>
        <w:t>Qualification Data:  For Applicator.</w:t>
      </w:r>
    </w:p>
    <w:p w:rsidR="00BE5BDB" w:rsidRDefault="00BE5BDB">
      <w:pPr>
        <w:pStyle w:val="PR1"/>
      </w:pPr>
      <w:r>
        <w:t>Material Test Reports:  For each intumescent paint.</w:t>
      </w:r>
    </w:p>
    <w:p w:rsidR="00BE5BDB" w:rsidRDefault="00BE5BDB">
      <w:pPr>
        <w:pStyle w:val="CMT"/>
      </w:pPr>
      <w:r>
        <w:t>Retain paragraph above or below.</w:t>
      </w:r>
    </w:p>
    <w:p w:rsidR="00BE5BDB" w:rsidRDefault="00BE5BDB">
      <w:pPr>
        <w:pStyle w:val="PR1"/>
      </w:pPr>
      <w:r>
        <w:t>Material Certificates:  For each intumescent paint, signed by manufacturers.</w:t>
      </w:r>
    </w:p>
    <w:p w:rsidR="00BE5BDB" w:rsidRPr="00194740" w:rsidRDefault="00BE5BDB">
      <w:pPr>
        <w:pStyle w:val="ART"/>
        <w:rPr>
          <w:rStyle w:val="Strong"/>
        </w:rPr>
      </w:pPr>
      <w:r w:rsidRPr="00194740">
        <w:rPr>
          <w:rStyle w:val="Strong"/>
        </w:rPr>
        <w:t>QUALITY ASSURANCE</w:t>
      </w:r>
    </w:p>
    <w:p w:rsidR="00BE5BDB" w:rsidRDefault="00BE5BDB">
      <w:pPr>
        <w:pStyle w:val="PR1"/>
      </w:pPr>
      <w:r>
        <w:t>Applicator Qualifications:  A firm or individual experienced in applying intumescent paints similar in material, design, and extent to those indicated for the Project, whose work has resulted in applications with a record of successful in-service performance.</w:t>
      </w:r>
    </w:p>
    <w:p w:rsidR="00BE5BDB" w:rsidRDefault="00BE5BDB">
      <w:pPr>
        <w:pStyle w:val="PR1"/>
      </w:pPr>
      <w:r>
        <w:t>Source Limitations:  Obtain primers and undercoat materials for each intumescent paint system from same manufacturer as finish coats, or of type approved by manufacturer.</w:t>
      </w:r>
    </w:p>
    <w:p w:rsidR="00BE5BDB" w:rsidRDefault="00BE5BDB">
      <w:pPr>
        <w:pStyle w:val="PR2"/>
        <w:spacing w:before="240"/>
      </w:pPr>
      <w:r>
        <w:t xml:space="preserve">Notify </w:t>
      </w:r>
      <w:r w:rsidR="00E24355">
        <w:t>Contracting Officer</w:t>
      </w:r>
      <w:r>
        <w:t xml:space="preserve"> of problems anticipated using specified coating systems.</w:t>
      </w:r>
    </w:p>
    <w:p w:rsidR="00BE5BDB" w:rsidRDefault="00BE5BDB">
      <w:pPr>
        <w:pStyle w:val="CMT"/>
      </w:pPr>
      <w:r>
        <w:t>Delete paragraph and subparagraphs below if not required.  If retaining, indicate location, size, and other details of mockups on Drawings or by inserts.  Revise wording if only one mockup is required.</w:t>
      </w:r>
    </w:p>
    <w:p w:rsidR="00BE5BDB" w:rsidRDefault="00BE5BDB">
      <w:pPr>
        <w:pStyle w:val="PR1"/>
      </w:pPr>
      <w:r>
        <w:t>Benchmark Samples (Mockups):  Provide a full-coat benchmark finish sample for each type of coating and substrate required.  Comply with procedures specified in PDCA P5.  Duplicate finish of approved sample submittals.</w:t>
      </w:r>
    </w:p>
    <w:p w:rsidR="00BE5BDB" w:rsidRDefault="00E24355">
      <w:pPr>
        <w:pStyle w:val="PR2"/>
        <w:spacing w:before="240"/>
      </w:pPr>
      <w:r>
        <w:t>Contracting Officer</w:t>
      </w:r>
      <w:r w:rsidR="00BE5BDB">
        <w:t xml:space="preserve"> will select one room or surface to represent surfaces and conditions for application of each type of coating and substrate.</w:t>
      </w:r>
    </w:p>
    <w:p w:rsidR="00BE5BDB" w:rsidRDefault="00BE5BDB">
      <w:pPr>
        <w:pStyle w:val="PR3"/>
        <w:spacing w:before="240"/>
      </w:pPr>
      <w:r>
        <w:t xml:space="preserve">Wall Surfaces:  Provide samples of at least </w:t>
      </w:r>
      <w:r w:rsidR="00457FD0">
        <w:rPr>
          <w:rStyle w:val="SI"/>
        </w:rPr>
        <w:t>9 sq. m</w:t>
      </w:r>
      <w:r w:rsidR="00457FD0">
        <w:rPr>
          <w:rStyle w:val="IP"/>
        </w:rPr>
        <w:t xml:space="preserve"> (</w:t>
      </w:r>
      <w:r>
        <w:rPr>
          <w:rStyle w:val="IP"/>
        </w:rPr>
        <w:t>100 sq. ft.</w:t>
      </w:r>
      <w:r>
        <w:rPr>
          <w:rStyle w:val="SI"/>
        </w:rPr>
        <w:t>)</w:t>
      </w:r>
      <w:r>
        <w:t>.</w:t>
      </w:r>
    </w:p>
    <w:p w:rsidR="00BE5BDB" w:rsidRDefault="00BE5BDB">
      <w:pPr>
        <w:pStyle w:val="PR3"/>
      </w:pPr>
      <w:r>
        <w:t xml:space="preserve">Small Areas and Items:  </w:t>
      </w:r>
      <w:r w:rsidR="00E24355">
        <w:t>Contracting Officer</w:t>
      </w:r>
      <w:r>
        <w:t xml:space="preserve"> will designate items or areas required.</w:t>
      </w:r>
    </w:p>
    <w:p w:rsidR="00BE5BDB" w:rsidRDefault="00BE5BDB">
      <w:pPr>
        <w:pStyle w:val="PR2"/>
        <w:spacing w:before="240"/>
      </w:pPr>
      <w:r>
        <w:lastRenderedPageBreak/>
        <w:t>Apply benchmark samples, according to requirements for the completed Work, after permanent lighting and other environmental services have been activated.</w:t>
      </w:r>
    </w:p>
    <w:p w:rsidR="00BE5BDB" w:rsidRDefault="00BE5BDB">
      <w:pPr>
        <w:pStyle w:val="PR3"/>
        <w:spacing w:before="240"/>
      </w:pPr>
      <w:r>
        <w:t xml:space="preserve">After finishes are accepted, </w:t>
      </w:r>
      <w:r w:rsidR="00E24355">
        <w:t>Contracting Officer</w:t>
      </w:r>
      <w:r>
        <w:t xml:space="preserve"> will use the room or surface to evaluate coating systems of a similar nature.</w:t>
      </w:r>
    </w:p>
    <w:p w:rsidR="00BE5BDB" w:rsidRDefault="00BE5BDB">
      <w:pPr>
        <w:pStyle w:val="CMT"/>
      </w:pPr>
      <w:r>
        <w:t xml:space="preserve">Revise subparagraph below if </w:t>
      </w:r>
      <w:r w:rsidR="00E24355">
        <w:t>Contracting Officer</w:t>
      </w:r>
      <w:r>
        <w:t xml:space="preserve"> reserves the right to make final color selection from benchmark samples.</w:t>
      </w:r>
    </w:p>
    <w:p w:rsidR="00BE5BDB" w:rsidRDefault="00BE5BDB">
      <w:pPr>
        <w:pStyle w:val="PR2"/>
        <w:spacing w:before="240"/>
      </w:pPr>
      <w:r>
        <w:t>Final approval of colors will be from benchmark samples.</w:t>
      </w:r>
    </w:p>
    <w:p w:rsidR="00BE5BDB" w:rsidRDefault="00BE5BDB">
      <w:pPr>
        <w:pStyle w:val="CMT"/>
      </w:pPr>
      <w:r>
        <w:t>Delete first paragraph below if Work of this Section is not extensive or complex enough to justify a preinstallation conference.  If retaining, coordinate with Division 01.</w:t>
      </w:r>
    </w:p>
    <w:p w:rsidR="00BE5BDB" w:rsidRDefault="00BE5BDB">
      <w:pPr>
        <w:pStyle w:val="PR1"/>
      </w:pPr>
      <w:proofErr w:type="spellStart"/>
      <w:r>
        <w:t>Preinstallation</w:t>
      </w:r>
      <w:proofErr w:type="spellEnd"/>
      <w:r>
        <w:t xml:space="preserve"> Conference:  Conduct conference at Project site to comply with requirements in Division 01 Section "Project Management and Coordination."</w:t>
      </w:r>
      <w:r w:rsidR="00AE0707">
        <w:t xml:space="preserve">  Do not schedule conference until after submittals have been reviewed and approved by the NIH Division of the Fire Marshal.</w:t>
      </w:r>
    </w:p>
    <w:p w:rsidR="00BE5BDB" w:rsidRDefault="00BE5BDB">
      <w:pPr>
        <w:pStyle w:val="PR1"/>
      </w:pPr>
      <w:r>
        <w:t>Fire-Test-Response Characteristics:  Provide intumescent paints with the following surface-burning characteristics as determined by testing identical products per ASTM E 84, by UL, or by another testing and inspecting agency acceptable to authorities having jurisdiction:</w:t>
      </w:r>
    </w:p>
    <w:p w:rsidR="00BE5BDB" w:rsidRDefault="00BE5BDB">
      <w:pPr>
        <w:pStyle w:val="PR2"/>
        <w:spacing w:before="240"/>
      </w:pPr>
      <w:r>
        <w:t>Flame-Spread Index:  [</w:t>
      </w:r>
      <w:r>
        <w:rPr>
          <w:b/>
        </w:rPr>
        <w:t>25 or less</w:t>
      </w:r>
      <w:r>
        <w:t>] [</w:t>
      </w:r>
      <w:r>
        <w:rPr>
          <w:b/>
        </w:rPr>
        <w:t>26-75</w:t>
      </w:r>
      <w:r>
        <w:t>].</w:t>
      </w:r>
    </w:p>
    <w:p w:rsidR="00BE5BDB" w:rsidRDefault="00BE5BDB">
      <w:pPr>
        <w:pStyle w:val="PR2"/>
      </w:pPr>
      <w:r>
        <w:t>Smoke-Developed Index:  450 or less.</w:t>
      </w:r>
    </w:p>
    <w:p w:rsidR="00BE5BDB" w:rsidRPr="00194740" w:rsidRDefault="00BE5BDB">
      <w:pPr>
        <w:pStyle w:val="CMT"/>
        <w:rPr>
          <w:rStyle w:val="Strong"/>
        </w:rPr>
      </w:pPr>
      <w:r w:rsidRPr="00194740">
        <w:rPr>
          <w:rStyle w:val="Strong"/>
        </w:rPr>
        <w:t>Insert agenda items not listed in Division 01 Section "Project Management and Coordination."</w:t>
      </w:r>
    </w:p>
    <w:p w:rsidR="00BE5BDB" w:rsidRPr="00194740" w:rsidRDefault="00BE5BDB">
      <w:pPr>
        <w:pStyle w:val="ART"/>
        <w:rPr>
          <w:rStyle w:val="Strong"/>
        </w:rPr>
      </w:pPr>
      <w:r w:rsidRPr="00194740">
        <w:rPr>
          <w:rStyle w:val="Strong"/>
        </w:rPr>
        <w:t>PROJECT CONDITIONS</w:t>
      </w:r>
    </w:p>
    <w:p w:rsidR="00BE5BDB" w:rsidRDefault="00BE5BDB">
      <w:pPr>
        <w:pStyle w:val="CMT"/>
      </w:pPr>
      <w:r>
        <w:t>Revise this Article if manufacturer's requirements are more restrictive.</w:t>
      </w:r>
    </w:p>
    <w:p w:rsidR="00BE5BDB" w:rsidRDefault="00BE5BDB">
      <w:pPr>
        <w:pStyle w:val="PR1"/>
      </w:pPr>
      <w:r>
        <w:t xml:space="preserve">Apply waterborne paints only when temperatures of surfaces to be painted and surrounding air are between </w:t>
      </w:r>
      <w:r w:rsidR="00457FD0">
        <w:rPr>
          <w:rStyle w:val="SI"/>
        </w:rPr>
        <w:t>10 and 32 deg C</w:t>
      </w:r>
      <w:r w:rsidR="00457FD0">
        <w:rPr>
          <w:rStyle w:val="IP"/>
        </w:rPr>
        <w:t xml:space="preserve"> (</w:t>
      </w:r>
      <w:r>
        <w:rPr>
          <w:rStyle w:val="IP"/>
        </w:rPr>
        <w:t>50 and 90 deg F</w:t>
      </w:r>
      <w:r>
        <w:rPr>
          <w:rStyle w:val="SI"/>
        </w:rPr>
        <w:t>)</w:t>
      </w:r>
      <w:r>
        <w:t>.</w:t>
      </w:r>
    </w:p>
    <w:p w:rsidR="00BE5BDB" w:rsidRDefault="00BE5BDB">
      <w:pPr>
        <w:pStyle w:val="PR1"/>
      </w:pPr>
      <w:r>
        <w:t xml:space="preserve">Apply solvent-thinned paints only when temperatures of surfaces to be painted and surrounding air are between </w:t>
      </w:r>
      <w:r w:rsidR="00457FD0">
        <w:rPr>
          <w:rStyle w:val="SI"/>
        </w:rPr>
        <w:t>7 and 35 deg C</w:t>
      </w:r>
      <w:r w:rsidR="00457FD0">
        <w:rPr>
          <w:rStyle w:val="IP"/>
        </w:rPr>
        <w:t xml:space="preserve"> (</w:t>
      </w:r>
      <w:r>
        <w:rPr>
          <w:rStyle w:val="IP"/>
        </w:rPr>
        <w:t>45 and 95 deg F</w:t>
      </w:r>
      <w:r>
        <w:rPr>
          <w:rStyle w:val="SI"/>
        </w:rPr>
        <w:t>)</w:t>
      </w:r>
      <w:r>
        <w:t>.</w:t>
      </w:r>
    </w:p>
    <w:p w:rsidR="00BE5BDB" w:rsidRDefault="00BE5BDB">
      <w:pPr>
        <w:pStyle w:val="CMT"/>
      </w:pPr>
      <w:r>
        <w:t>Delete paragraph and subparagraph below for interior applications not subject to inclement weather conditions.</w:t>
      </w:r>
    </w:p>
    <w:p w:rsidR="00BE5BDB" w:rsidRDefault="00BE5BDB">
      <w:pPr>
        <w:pStyle w:val="PR1"/>
      </w:pPr>
      <w:r>
        <w:t xml:space="preserve">Do not apply intumescent paints in snow, rain, fog, or mist; when relative humidity exceeds 85 percent; if temperature is less than </w:t>
      </w:r>
      <w:r w:rsidR="00457FD0">
        <w:rPr>
          <w:rStyle w:val="SI"/>
        </w:rPr>
        <w:t>3 deg C</w:t>
      </w:r>
      <w:r w:rsidR="00457FD0">
        <w:rPr>
          <w:rStyle w:val="IP"/>
        </w:rPr>
        <w:t xml:space="preserve"> (</w:t>
      </w:r>
      <w:r>
        <w:rPr>
          <w:rStyle w:val="IP"/>
        </w:rPr>
        <w:t>5 deg F</w:t>
      </w:r>
      <w:r>
        <w:rPr>
          <w:rStyle w:val="SI"/>
        </w:rPr>
        <w:t>)</w:t>
      </w:r>
      <w:r>
        <w:t xml:space="preserve"> above the dew point; or to damp or wet surfaces.</w:t>
      </w:r>
    </w:p>
    <w:p w:rsidR="00BE5BDB" w:rsidRDefault="00BE5BDB">
      <w:pPr>
        <w:pStyle w:val="CMT"/>
      </w:pPr>
      <w:r>
        <w:t>Delete subparagraph below if continued application in inclement weather will not be permitted under any circumstances.</w:t>
      </w:r>
    </w:p>
    <w:p w:rsidR="00BE5BDB" w:rsidRDefault="00BE5BDB">
      <w:pPr>
        <w:pStyle w:val="PR2"/>
        <w:spacing w:before="240"/>
      </w:pPr>
      <w:r>
        <w:t>Painting may continue during inclement weather if surfaces and areas to be painted are enclosed and heated, during application and drying periods, within temperature limits specified by manufacturer.</w:t>
      </w:r>
    </w:p>
    <w:p w:rsidR="00BE5BDB" w:rsidRPr="00194740" w:rsidRDefault="00BE5BDB">
      <w:pPr>
        <w:pStyle w:val="ART"/>
        <w:rPr>
          <w:rStyle w:val="Strong"/>
        </w:rPr>
      </w:pPr>
      <w:r w:rsidRPr="00194740">
        <w:rPr>
          <w:rStyle w:val="Strong"/>
        </w:rPr>
        <w:t>EXTRA MATERIALS</w:t>
      </w:r>
    </w:p>
    <w:p w:rsidR="00BE5BDB" w:rsidRDefault="00BE5BDB">
      <w:pPr>
        <w:pStyle w:val="CMT"/>
      </w:pPr>
      <w:r>
        <w:t>Extra materials may not be allowed for publicly funded projects.</w:t>
      </w:r>
    </w:p>
    <w:p w:rsidR="00BE5BDB" w:rsidRDefault="00BE5BDB">
      <w:pPr>
        <w:pStyle w:val="PR1"/>
      </w:pPr>
      <w:r>
        <w:t xml:space="preserve">Furnish extra intumescent and fire-inert paint materials from same production run as materials applied in quantities described below.  Package paint materials in unopened, factory-sealed containers for storage, and identify with labels describing contents.  Deliver extra materials to </w:t>
      </w:r>
      <w:r w:rsidR="00E24355">
        <w:t>NIH</w:t>
      </w:r>
      <w:r>
        <w:t>.</w:t>
      </w:r>
    </w:p>
    <w:p w:rsidR="00BE5BDB" w:rsidRDefault="00BE5BDB">
      <w:pPr>
        <w:pStyle w:val="CMT"/>
      </w:pPr>
      <w:r>
        <w:t>Retain one of two "Quantity" subparagraphs below.  First subparagraph and associated subparagraphs are for projects that require large quantities of several categories of extra materials.</w:t>
      </w:r>
    </w:p>
    <w:p w:rsidR="00BE5BDB" w:rsidRDefault="00BE5BDB">
      <w:pPr>
        <w:pStyle w:val="PR2"/>
        <w:spacing w:before="240"/>
      </w:pPr>
      <w:r>
        <w:t xml:space="preserve">Quantity:  Furnish </w:t>
      </w:r>
      <w:r w:rsidR="00E24355">
        <w:t>NIH</w:t>
      </w:r>
      <w:r>
        <w:t xml:space="preserve"> with extra paint materials in quantities indicated below:</w:t>
      </w:r>
    </w:p>
    <w:p w:rsidR="00BE5BDB" w:rsidRDefault="00BE5BDB">
      <w:pPr>
        <w:pStyle w:val="CMT"/>
      </w:pPr>
      <w:r>
        <w:t>List below is example only.  Add or delete materials and revise quantities to suit Project.  Some manufacturers use both 2- and 4-gal. (7.57- and 15.14-L) cases; if so, designate the number of gallons (liters) required per case.</w:t>
      </w:r>
    </w:p>
    <w:p w:rsidR="00BE5BDB" w:rsidRDefault="00BE5BDB">
      <w:pPr>
        <w:pStyle w:val="PR3"/>
        <w:spacing w:before="240"/>
      </w:pPr>
      <w:r>
        <w:t>Flat, Intumescent [</w:t>
      </w:r>
      <w:r>
        <w:rPr>
          <w:b/>
        </w:rPr>
        <w:t>Latex</w:t>
      </w:r>
      <w:r>
        <w:t>] [</w:t>
      </w:r>
      <w:r>
        <w:rPr>
          <w:b/>
        </w:rPr>
        <w:t>Solvent-Thinned</w:t>
      </w:r>
      <w:r>
        <w:t>] Paint:  [</w:t>
      </w:r>
      <w:r>
        <w:rPr>
          <w:b/>
        </w:rPr>
        <w:t>One</w:t>
      </w:r>
      <w:r>
        <w:t>] &lt;</w:t>
      </w:r>
      <w:r>
        <w:rPr>
          <w:b/>
        </w:rPr>
        <w:t>Insert number</w:t>
      </w:r>
      <w:r>
        <w:t>&gt; case(s) of each color applied.</w:t>
      </w:r>
    </w:p>
    <w:p w:rsidR="00BE5BDB" w:rsidRDefault="00BE5BDB">
      <w:pPr>
        <w:pStyle w:val="PR3"/>
      </w:pPr>
      <w:proofErr w:type="spellStart"/>
      <w:r>
        <w:t>Semigloss</w:t>
      </w:r>
      <w:proofErr w:type="spellEnd"/>
      <w:r>
        <w:t>, Intumescent [</w:t>
      </w:r>
      <w:r>
        <w:rPr>
          <w:b/>
        </w:rPr>
        <w:t>Latex</w:t>
      </w:r>
      <w:r>
        <w:t>] [</w:t>
      </w:r>
      <w:r>
        <w:rPr>
          <w:b/>
        </w:rPr>
        <w:t>Solvent-Thinned</w:t>
      </w:r>
      <w:r>
        <w:t>] Paint:  [</w:t>
      </w:r>
      <w:r w:rsidR="00457FD0">
        <w:rPr>
          <w:rStyle w:val="IP"/>
          <w:b/>
        </w:rPr>
        <w:t>7.57 L (2 gal.)</w:t>
      </w:r>
      <w:r>
        <w:t>] &lt;</w:t>
      </w:r>
      <w:r>
        <w:rPr>
          <w:b/>
        </w:rPr>
        <w:t>Insert number</w:t>
      </w:r>
      <w:r>
        <w:t>&gt; of each color applied.</w:t>
      </w:r>
    </w:p>
    <w:p w:rsidR="00BE5BDB" w:rsidRDefault="00BE5BDB">
      <w:pPr>
        <w:pStyle w:val="PR3"/>
      </w:pPr>
      <w:r>
        <w:t>Clear, Intumescent Paint:  [</w:t>
      </w:r>
      <w:r w:rsidR="00457FD0">
        <w:rPr>
          <w:rStyle w:val="IP"/>
          <w:b/>
        </w:rPr>
        <w:t>7.57 L (2 gal.)</w:t>
      </w:r>
      <w:r>
        <w:t>] &lt;</w:t>
      </w:r>
      <w:r>
        <w:rPr>
          <w:b/>
        </w:rPr>
        <w:t>Insert number</w:t>
      </w:r>
      <w:r>
        <w:t>&gt;.</w:t>
      </w:r>
    </w:p>
    <w:p w:rsidR="00BE5BDB" w:rsidRDefault="00BE5BDB">
      <w:pPr>
        <w:pStyle w:val="PR3"/>
      </w:pPr>
      <w:r>
        <w:lastRenderedPageBreak/>
        <w:t>Fire-Inert [</w:t>
      </w:r>
      <w:r>
        <w:rPr>
          <w:b/>
        </w:rPr>
        <w:t>Latex</w:t>
      </w:r>
      <w:r>
        <w:t>] [</w:t>
      </w:r>
      <w:r>
        <w:rPr>
          <w:b/>
        </w:rPr>
        <w:t>Solvent-Thinned</w:t>
      </w:r>
      <w:r>
        <w:t>] Paint:  [</w:t>
      </w:r>
      <w:r w:rsidR="00457FD0">
        <w:rPr>
          <w:rStyle w:val="IP"/>
          <w:b/>
        </w:rPr>
        <w:t>7.57 L (2 gal.)</w:t>
      </w:r>
      <w:r>
        <w:t>] &lt;</w:t>
      </w:r>
      <w:r>
        <w:rPr>
          <w:b/>
        </w:rPr>
        <w:t>Insert number</w:t>
      </w:r>
      <w:r>
        <w:t>&gt; of each color applied.</w:t>
      </w:r>
    </w:p>
    <w:p w:rsidR="00BE5BDB" w:rsidRDefault="00BE5BDB">
      <w:pPr>
        <w:pStyle w:val="CMT"/>
      </w:pPr>
      <w:r>
        <w:t>Retain subparagraph below for projects that require only limited quantities of extra materials.  If necessary, include an expanded description of quantity of each material and color.</w:t>
      </w:r>
    </w:p>
    <w:p w:rsidR="00BE5BDB" w:rsidRDefault="00BE5BDB">
      <w:pPr>
        <w:pStyle w:val="PR2"/>
        <w:spacing w:before="240"/>
      </w:pPr>
      <w:r>
        <w:t>Quantity:  Additional [</w:t>
      </w:r>
      <w:r>
        <w:rPr>
          <w:b/>
        </w:rPr>
        <w:t>5</w:t>
      </w:r>
      <w:r>
        <w:t>] &lt;</w:t>
      </w:r>
      <w:r>
        <w:rPr>
          <w:b/>
        </w:rPr>
        <w:t>Insert percent</w:t>
      </w:r>
      <w:r>
        <w:t xml:space="preserve">&gt; percent, but no less than </w:t>
      </w:r>
      <w:r>
        <w:rPr>
          <w:rStyle w:val="IP"/>
        </w:rPr>
        <w:t>1 gal.</w:t>
      </w:r>
      <w:r>
        <w:rPr>
          <w:rStyle w:val="SI"/>
        </w:rPr>
        <w:t xml:space="preserve"> (3.78 L)</w:t>
      </w:r>
      <w:r>
        <w:t>, as appropriate, of each material and color applied.</w:t>
      </w:r>
    </w:p>
    <w:p w:rsidR="00BE5BDB" w:rsidRPr="00194740" w:rsidRDefault="00BE5BDB">
      <w:pPr>
        <w:pStyle w:val="PRT"/>
        <w:rPr>
          <w:rStyle w:val="Strong"/>
        </w:rPr>
      </w:pPr>
      <w:r w:rsidRPr="00194740">
        <w:rPr>
          <w:rStyle w:val="Strong"/>
        </w:rPr>
        <w:t>PRODUCTS</w:t>
      </w:r>
    </w:p>
    <w:p w:rsidR="00BE5BDB" w:rsidRPr="00194740" w:rsidRDefault="00BE5BDB">
      <w:pPr>
        <w:pStyle w:val="ART"/>
        <w:rPr>
          <w:rStyle w:val="Strong"/>
        </w:rPr>
      </w:pPr>
      <w:r w:rsidRPr="00194740">
        <w:rPr>
          <w:rStyle w:val="Strong"/>
        </w:rPr>
        <w:t>MANUFACTURERS</w:t>
      </w:r>
    </w:p>
    <w:p w:rsidR="00BE5BDB" w:rsidRDefault="00BE5BDB">
      <w:pPr>
        <w:pStyle w:val="CMT"/>
      </w:pPr>
      <w:r>
        <w:t>See Editing Instruction No. 1 in the Evaluations for cautions about naming manufacturers and products.</w:t>
      </w:r>
    </w:p>
    <w:p w:rsidR="00BE5BDB" w:rsidRDefault="00BE5BDB">
      <w:pPr>
        <w:pStyle w:val="PR1"/>
      </w:pPr>
      <w:r>
        <w:t>Available Products:  Subject to compliance with requirements, products that may be incorporated into the Work include, but are not limited to, products listed in other Part 2 articles.</w:t>
      </w:r>
    </w:p>
    <w:p w:rsidR="00BE5BDB" w:rsidRDefault="00BE5BDB">
      <w:pPr>
        <w:pStyle w:val="CMT"/>
      </w:pPr>
      <w:r>
        <w:t>Retain paragraph above for nonproprietary or first paragraph below for semiproprietary specification.  Refer to Division 01 Section "Product Requirements."  In other Part 2 articles, retain either "Available Products" or "Products" as the title introducing each list of products.</w:t>
      </w:r>
    </w:p>
    <w:p w:rsidR="00BE5BDB" w:rsidRDefault="00BE5BDB">
      <w:pPr>
        <w:pStyle w:val="PR1"/>
      </w:pPr>
      <w:r>
        <w:t>Products:  Subject to compliance with requirements, provide one of the products listed in other Part 2 articles.</w:t>
      </w:r>
    </w:p>
    <w:p w:rsidR="00BE5BDB" w:rsidRDefault="00BE5BDB">
      <w:pPr>
        <w:pStyle w:val="PR1"/>
      </w:pPr>
      <w:r>
        <w:t>Manufacturers' Names:  Shortened versions (shown in parenthesis) of the following manufacturers names are referred to in other Part 2 articles:</w:t>
      </w:r>
    </w:p>
    <w:p w:rsidR="00BE5BDB" w:rsidRDefault="00BE5BDB">
      <w:pPr>
        <w:pStyle w:val="CMT"/>
      </w:pPr>
      <w:r>
        <w:t>Manufacturers listed below produce an extensive line of nationally distributed intumescent paint products that are usually available locally.  See UL's "Building Materials Directory" for other manufacturers.  Edit Part 2 articles to suit Project and local product availability.</w:t>
      </w:r>
    </w:p>
    <w:p w:rsidR="00BE5BDB" w:rsidRDefault="00BE5BDB">
      <w:pPr>
        <w:pStyle w:val="PR2"/>
        <w:spacing w:before="240"/>
      </w:pPr>
      <w:proofErr w:type="spellStart"/>
      <w:r>
        <w:t>Albi</w:t>
      </w:r>
      <w:proofErr w:type="spellEnd"/>
      <w:r>
        <w:t xml:space="preserve"> Manufacturing; a division of </w:t>
      </w:r>
      <w:proofErr w:type="spellStart"/>
      <w:r>
        <w:t>StanChem</w:t>
      </w:r>
      <w:proofErr w:type="spellEnd"/>
      <w:r>
        <w:t>, Inc. (</w:t>
      </w:r>
      <w:proofErr w:type="spellStart"/>
      <w:r>
        <w:t>Albi</w:t>
      </w:r>
      <w:proofErr w:type="spellEnd"/>
      <w:r>
        <w:t>).</w:t>
      </w:r>
    </w:p>
    <w:p w:rsidR="00BE5BDB" w:rsidRDefault="00BE5BDB">
      <w:pPr>
        <w:pStyle w:val="PR2"/>
      </w:pPr>
      <w:r>
        <w:t>Benjamin Moore &amp; Co. (Moore).</w:t>
      </w:r>
    </w:p>
    <w:p w:rsidR="00BE5BDB" w:rsidRDefault="00BE5BDB">
      <w:pPr>
        <w:pStyle w:val="PR2"/>
      </w:pPr>
      <w:r>
        <w:t>Fire Research Laboratories; Ocean Fire Retardants Inc. (FRL).</w:t>
      </w:r>
    </w:p>
    <w:p w:rsidR="00BE5BDB" w:rsidRDefault="00BE5BDB">
      <w:pPr>
        <w:pStyle w:val="PR2"/>
      </w:pPr>
      <w:r>
        <w:t>Flame Control Coatings, Inc. (FCC).</w:t>
      </w:r>
    </w:p>
    <w:p w:rsidR="00BE5BDB" w:rsidRDefault="00BE5BDB">
      <w:pPr>
        <w:pStyle w:val="PR2"/>
      </w:pPr>
      <w:r>
        <w:t>International Fire-Resistant Systems, Inc. (IFRS).</w:t>
      </w:r>
    </w:p>
    <w:p w:rsidR="00BE5BDB" w:rsidRDefault="00BE5BDB">
      <w:pPr>
        <w:pStyle w:val="PR2"/>
      </w:pPr>
      <w:proofErr w:type="spellStart"/>
      <w:r>
        <w:t>NoFire</w:t>
      </w:r>
      <w:proofErr w:type="spellEnd"/>
      <w:r>
        <w:t xml:space="preserve"> Technologies, Inc. (</w:t>
      </w:r>
      <w:proofErr w:type="spellStart"/>
      <w:r>
        <w:t>NoFire</w:t>
      </w:r>
      <w:proofErr w:type="spellEnd"/>
      <w:r>
        <w:t>).</w:t>
      </w:r>
    </w:p>
    <w:p w:rsidR="00BE5BDB" w:rsidRDefault="00BE5BDB">
      <w:pPr>
        <w:pStyle w:val="PR2"/>
      </w:pPr>
      <w:r>
        <w:t>PPG Industries, Inc. (PPG).</w:t>
      </w:r>
    </w:p>
    <w:p w:rsidR="00BE5BDB" w:rsidRDefault="00BE5BDB">
      <w:pPr>
        <w:pStyle w:val="PR2"/>
      </w:pPr>
      <w:r>
        <w:t>&lt;</w:t>
      </w:r>
      <w:r>
        <w:rPr>
          <w:b/>
        </w:rPr>
        <w:t>Insert manufacturer's name.</w:t>
      </w:r>
      <w:r>
        <w:t>&gt;</w:t>
      </w:r>
    </w:p>
    <w:p w:rsidR="00BE5BDB" w:rsidRPr="00194740" w:rsidRDefault="00BE5BDB">
      <w:pPr>
        <w:pStyle w:val="ART"/>
        <w:rPr>
          <w:rStyle w:val="Strong"/>
        </w:rPr>
      </w:pPr>
      <w:r w:rsidRPr="00194740">
        <w:rPr>
          <w:rStyle w:val="Strong"/>
        </w:rPr>
        <w:t>INTUMESCENT PAINT MATERIALS, GENERAL</w:t>
      </w:r>
    </w:p>
    <w:p w:rsidR="00BE5BDB" w:rsidRDefault="00BE5BDB">
      <w:pPr>
        <w:pStyle w:val="CMT"/>
      </w:pPr>
      <w:r>
        <w:t>Always retain paragraph below.  Systems could fail if coats are incompatible.</w:t>
      </w:r>
    </w:p>
    <w:p w:rsidR="00BE5BDB" w:rsidRDefault="00BE5BDB">
      <w:pPr>
        <w:pStyle w:val="PR1"/>
      </w:pPr>
      <w:r>
        <w:t>Material Compatibility:  Provide undercoat and finish-coat materials that are compatible with one another and substrates indicated under conditions of service and application, as demonstrated by manufacturer based on testing and field experience.</w:t>
      </w:r>
    </w:p>
    <w:p w:rsidR="00BE5BDB" w:rsidRDefault="00BE5BDB">
      <w:pPr>
        <w:pStyle w:val="PR1"/>
      </w:pPr>
      <w:r>
        <w:t>Material Quality:  Provide manufacturer's best-quality intumescent and fire-inert paint materials.  Paint material containers not displaying manufacturer's product identification are not acceptable.</w:t>
      </w:r>
    </w:p>
    <w:p w:rsidR="00BE5BDB" w:rsidRDefault="00BE5BDB">
      <w:pPr>
        <w:pStyle w:val="CMT"/>
      </w:pPr>
      <w:r>
        <w:t>Revise subparagraph below if intumescent paints are required for exterior application.</w:t>
      </w:r>
    </w:p>
    <w:p w:rsidR="00BE5BDB" w:rsidRDefault="00BE5BDB">
      <w:pPr>
        <w:pStyle w:val="PR2"/>
        <w:spacing w:before="240"/>
      </w:pPr>
      <w:r>
        <w:t>Provide water-reducible or solvent-reducible, clear or pigmented, intumescent and fire-inert paint materials formulated to retard flame spread and intended for use on [</w:t>
      </w:r>
      <w:r>
        <w:rPr>
          <w:b/>
        </w:rPr>
        <w:t>interior</w:t>
      </w:r>
      <w:r>
        <w:t>] [</w:t>
      </w:r>
      <w:r>
        <w:rPr>
          <w:b/>
        </w:rPr>
        <w:t>and</w:t>
      </w:r>
      <w:r>
        <w:t>] [</w:t>
      </w:r>
      <w:r>
        <w:rPr>
          <w:b/>
        </w:rPr>
        <w:t>exterior</w:t>
      </w:r>
      <w:r>
        <w:t>] combustible surfaces.</w:t>
      </w:r>
    </w:p>
    <w:p w:rsidR="00BE5BDB" w:rsidRDefault="00BE5BDB">
      <w:pPr>
        <w:pStyle w:val="CMT"/>
      </w:pPr>
      <w:r>
        <w:t>Delete subparagraph below if Project requirements prohibit naming manufacturers or products.</w:t>
      </w:r>
    </w:p>
    <w:p w:rsidR="00BE5BDB" w:rsidRDefault="00BE5BDB">
      <w:pPr>
        <w:pStyle w:val="PR2"/>
      </w:pPr>
      <w:r>
        <w:t>Proprietary Names:  Use of manufacturer's proprietary product names to designate colors or materials is not intended to imply that products named are required to be used to the exclusion of equivalent products of other manufacturers.  Furnish manufacturer's material data and certificate of performance for proposed substitutions.</w:t>
      </w:r>
    </w:p>
    <w:p w:rsidR="00BE5BDB" w:rsidRDefault="00BE5BDB">
      <w:pPr>
        <w:pStyle w:val="CMT"/>
      </w:pPr>
      <w:r>
        <w:lastRenderedPageBreak/>
        <w:t>Retain paragraph and subparagraphs below if low-emitting materials are required for LEED Credit EQ 4.2; coordinate with products selected.  Below is based on chemical component limitations and restrictions in Green Seal's GS-11.  For names of products that comply, see products listed as LEED compliant on MPI's approved product lists (available at www.paintinfo.com).</w:t>
      </w:r>
    </w:p>
    <w:p w:rsidR="00BE5BDB" w:rsidRDefault="00BE5BDB">
      <w:pPr>
        <w:pStyle w:val="PR1"/>
      </w:pPr>
      <w:r>
        <w:t>Chemical Components of Interior Paints and Coatings:  Provide products that comply with the following limits for VOC content when calculated according to 40 CFR 59, Subpart D (EPA Method 24) and the following chemical restrictions:</w:t>
      </w:r>
    </w:p>
    <w:p w:rsidR="00BE5BDB" w:rsidRDefault="00BE5BDB">
      <w:pPr>
        <w:pStyle w:val="PR2"/>
        <w:spacing w:before="240"/>
      </w:pPr>
      <w:r>
        <w:t>Flat Paints and Coatings:  VOC content of not more than 50 g/L.</w:t>
      </w:r>
    </w:p>
    <w:p w:rsidR="00BE5BDB" w:rsidRDefault="00BE5BDB">
      <w:pPr>
        <w:pStyle w:val="PR2"/>
      </w:pPr>
      <w:r>
        <w:t>Non-Flat Paints and Coatings:  VOC content of not more than 150 g/L.</w:t>
      </w:r>
    </w:p>
    <w:p w:rsidR="00BE5BDB" w:rsidRDefault="00BE5BDB">
      <w:pPr>
        <w:pStyle w:val="PR2"/>
      </w:pPr>
      <w:r>
        <w:t>Varnishes and Sanding Sealers:  VOC content of not more than 350 g/L.</w:t>
      </w:r>
    </w:p>
    <w:p w:rsidR="00BE5BDB" w:rsidRDefault="00BE5BDB">
      <w:pPr>
        <w:pStyle w:val="PR2"/>
      </w:pPr>
      <w:r>
        <w:t>Stains:  VOC content of not more than 250 g/L.</w:t>
      </w:r>
    </w:p>
    <w:p w:rsidR="00BE5BDB" w:rsidRDefault="00BE5BDB">
      <w:pPr>
        <w:pStyle w:val="PR2"/>
      </w:pPr>
      <w:r>
        <w:t>Aromatic Compounds:  Paints and coatings shall not contain more than 1.0 percent by weight of total aromatic compounds (hydrocarbon compounds containing one or more benzene rings).</w:t>
      </w:r>
    </w:p>
    <w:p w:rsidR="00BE5BDB" w:rsidRDefault="00BE5BDB">
      <w:pPr>
        <w:pStyle w:val="PR2"/>
      </w:pPr>
      <w:r>
        <w:t>Restricted Components:  Paints and coatings shall not contain any of the following:</w:t>
      </w:r>
    </w:p>
    <w:p w:rsidR="00BE5BDB" w:rsidRDefault="00BE5BDB">
      <w:pPr>
        <w:pStyle w:val="PR3"/>
        <w:spacing w:before="240"/>
      </w:pPr>
      <w:proofErr w:type="spellStart"/>
      <w:r>
        <w:t>Acrolein</w:t>
      </w:r>
      <w:proofErr w:type="spellEnd"/>
      <w:r>
        <w:t>.</w:t>
      </w:r>
    </w:p>
    <w:p w:rsidR="00BE5BDB" w:rsidRDefault="00BE5BDB">
      <w:pPr>
        <w:pStyle w:val="PR3"/>
      </w:pPr>
      <w:r>
        <w:t>Acrylonitrile.</w:t>
      </w:r>
    </w:p>
    <w:p w:rsidR="00BE5BDB" w:rsidRDefault="00BE5BDB">
      <w:pPr>
        <w:pStyle w:val="PR3"/>
      </w:pPr>
      <w:r>
        <w:t>Antimony.</w:t>
      </w:r>
    </w:p>
    <w:p w:rsidR="00BE5BDB" w:rsidRDefault="00BE5BDB">
      <w:pPr>
        <w:pStyle w:val="PR3"/>
      </w:pPr>
      <w:r>
        <w:t>Benzene.</w:t>
      </w:r>
    </w:p>
    <w:p w:rsidR="00BE5BDB" w:rsidRDefault="00BE5BDB">
      <w:pPr>
        <w:pStyle w:val="PR3"/>
      </w:pPr>
      <w:r>
        <w:t>Butyl benzyl phthalate.</w:t>
      </w:r>
    </w:p>
    <w:p w:rsidR="00BE5BDB" w:rsidRDefault="00BE5BDB">
      <w:pPr>
        <w:pStyle w:val="PR3"/>
      </w:pPr>
      <w:r>
        <w:t>Cadmium.</w:t>
      </w:r>
    </w:p>
    <w:p w:rsidR="00BE5BDB" w:rsidRDefault="00BE5BDB">
      <w:pPr>
        <w:pStyle w:val="PR3"/>
      </w:pPr>
      <w:r>
        <w:t>Di (2-ethylhexyl) phthalate.</w:t>
      </w:r>
    </w:p>
    <w:p w:rsidR="00BE5BDB" w:rsidRDefault="00BE5BDB">
      <w:pPr>
        <w:pStyle w:val="PR3"/>
      </w:pPr>
      <w:r>
        <w:t>Di-n-butyl phthalate.</w:t>
      </w:r>
    </w:p>
    <w:p w:rsidR="00BE5BDB" w:rsidRDefault="00BE5BDB">
      <w:pPr>
        <w:pStyle w:val="PR3"/>
      </w:pPr>
      <w:r>
        <w:t>Di-n-</w:t>
      </w:r>
      <w:proofErr w:type="spellStart"/>
      <w:r>
        <w:t>octyl</w:t>
      </w:r>
      <w:proofErr w:type="spellEnd"/>
      <w:r>
        <w:t xml:space="preserve"> phthalate.</w:t>
      </w:r>
    </w:p>
    <w:p w:rsidR="00BE5BDB" w:rsidRDefault="00BE5BDB">
      <w:pPr>
        <w:pStyle w:val="PR3"/>
      </w:pPr>
      <w:r>
        <w:t>1,2-dichlorobenzene.</w:t>
      </w:r>
    </w:p>
    <w:p w:rsidR="00BE5BDB" w:rsidRDefault="00BE5BDB">
      <w:pPr>
        <w:pStyle w:val="PR3"/>
      </w:pPr>
      <w:r>
        <w:t>Diethyl phthalate.</w:t>
      </w:r>
    </w:p>
    <w:p w:rsidR="00BE5BDB" w:rsidRDefault="00BE5BDB">
      <w:pPr>
        <w:pStyle w:val="PR3"/>
      </w:pPr>
      <w:r>
        <w:t>Dimethyl phthalate.</w:t>
      </w:r>
    </w:p>
    <w:p w:rsidR="00BE5BDB" w:rsidRDefault="00BE5BDB">
      <w:pPr>
        <w:pStyle w:val="PR3"/>
      </w:pPr>
      <w:proofErr w:type="spellStart"/>
      <w:r>
        <w:t>Ethylbenzene</w:t>
      </w:r>
      <w:proofErr w:type="spellEnd"/>
      <w:r>
        <w:t>.</w:t>
      </w:r>
    </w:p>
    <w:p w:rsidR="00BE5BDB" w:rsidRDefault="00BE5BDB">
      <w:pPr>
        <w:pStyle w:val="PR3"/>
      </w:pPr>
      <w:r>
        <w:t>Formaldehyde.</w:t>
      </w:r>
    </w:p>
    <w:p w:rsidR="00BE5BDB" w:rsidRDefault="00BE5BDB">
      <w:pPr>
        <w:pStyle w:val="PR3"/>
      </w:pPr>
      <w:r>
        <w:t>Hexavalent chromium.</w:t>
      </w:r>
    </w:p>
    <w:p w:rsidR="00BE5BDB" w:rsidRDefault="00BE5BDB">
      <w:pPr>
        <w:pStyle w:val="PR3"/>
      </w:pPr>
      <w:proofErr w:type="spellStart"/>
      <w:r>
        <w:t>Isophorone</w:t>
      </w:r>
      <w:proofErr w:type="spellEnd"/>
      <w:r>
        <w:t>.</w:t>
      </w:r>
    </w:p>
    <w:p w:rsidR="00BE5BDB" w:rsidRDefault="00BE5BDB">
      <w:pPr>
        <w:pStyle w:val="PR3"/>
      </w:pPr>
      <w:r>
        <w:t>Lead.</w:t>
      </w:r>
    </w:p>
    <w:p w:rsidR="00BE5BDB" w:rsidRDefault="00BE5BDB">
      <w:pPr>
        <w:pStyle w:val="PR3"/>
      </w:pPr>
      <w:r>
        <w:t>Mercury.</w:t>
      </w:r>
    </w:p>
    <w:p w:rsidR="00BE5BDB" w:rsidRDefault="00BE5BDB">
      <w:pPr>
        <w:pStyle w:val="PR3"/>
      </w:pPr>
      <w:r>
        <w:t>Methyl ethyl ketone.</w:t>
      </w:r>
    </w:p>
    <w:p w:rsidR="00BE5BDB" w:rsidRDefault="00BE5BDB">
      <w:pPr>
        <w:pStyle w:val="PR3"/>
      </w:pPr>
      <w:r>
        <w:t>Methyl isobutyl ketone.</w:t>
      </w:r>
    </w:p>
    <w:p w:rsidR="00BE5BDB" w:rsidRDefault="00BE5BDB">
      <w:pPr>
        <w:pStyle w:val="PR3"/>
      </w:pPr>
      <w:r>
        <w:t>Methylene chloride.</w:t>
      </w:r>
    </w:p>
    <w:p w:rsidR="00BE5BDB" w:rsidRDefault="00BE5BDB">
      <w:pPr>
        <w:pStyle w:val="PR3"/>
      </w:pPr>
      <w:r>
        <w:t>Naphthalene.</w:t>
      </w:r>
    </w:p>
    <w:p w:rsidR="00BE5BDB" w:rsidRDefault="00BE5BDB">
      <w:pPr>
        <w:pStyle w:val="PR3"/>
      </w:pPr>
      <w:r>
        <w:t>Toluene (methylbenzene).</w:t>
      </w:r>
    </w:p>
    <w:p w:rsidR="00BE5BDB" w:rsidRDefault="00BE5BDB">
      <w:pPr>
        <w:pStyle w:val="PR3"/>
      </w:pPr>
      <w:r>
        <w:t>1,1,1-trichloroethane.</w:t>
      </w:r>
    </w:p>
    <w:p w:rsidR="00BE5BDB" w:rsidRDefault="00BE5BDB">
      <w:pPr>
        <w:pStyle w:val="PR3"/>
      </w:pPr>
      <w:r>
        <w:t>Vinyl chloride.</w:t>
      </w:r>
    </w:p>
    <w:p w:rsidR="00BE5BDB" w:rsidRDefault="00BE5BDB">
      <w:pPr>
        <w:pStyle w:val="CMT"/>
      </w:pPr>
      <w:r>
        <w:t>Retain one of three options in paragraph below.</w:t>
      </w:r>
    </w:p>
    <w:p w:rsidR="00BE5BDB" w:rsidRDefault="00BE5BDB">
      <w:pPr>
        <w:pStyle w:val="PR1"/>
      </w:pPr>
      <w:r>
        <w:t>Colors:  [</w:t>
      </w:r>
      <w:r>
        <w:rPr>
          <w:b/>
        </w:rPr>
        <w:t xml:space="preserve">Match </w:t>
      </w:r>
      <w:r w:rsidR="00E24355">
        <w:rPr>
          <w:b/>
        </w:rPr>
        <w:t>Contracting Officer</w:t>
      </w:r>
      <w:r>
        <w:rPr>
          <w:b/>
        </w:rPr>
        <w:t>'s samples</w:t>
      </w:r>
      <w:r>
        <w:t>] [</w:t>
      </w:r>
      <w:r>
        <w:rPr>
          <w:b/>
        </w:rPr>
        <w:t>As indicated by manufacturer's designations</w:t>
      </w:r>
      <w:r>
        <w:t>] [</w:t>
      </w:r>
      <w:r>
        <w:rPr>
          <w:b/>
        </w:rPr>
        <w:t xml:space="preserve">As selected by </w:t>
      </w:r>
      <w:r w:rsidR="00E24355">
        <w:rPr>
          <w:b/>
        </w:rPr>
        <w:t>Contracting Officer</w:t>
      </w:r>
      <w:r>
        <w:rPr>
          <w:b/>
        </w:rPr>
        <w:t xml:space="preserve"> from manufacturer's full range</w:t>
      </w:r>
      <w:r>
        <w:t>].</w:t>
      </w:r>
    </w:p>
    <w:p w:rsidR="00BE5BDB" w:rsidRPr="00194740" w:rsidRDefault="00BE5BDB">
      <w:pPr>
        <w:pStyle w:val="CMT"/>
        <w:rPr>
          <w:rStyle w:val="Strong"/>
        </w:rPr>
      </w:pPr>
      <w:r w:rsidRPr="00194740">
        <w:rPr>
          <w:rStyle w:val="Strong"/>
        </w:rPr>
        <w:t>If more than one color is required, indicate colors in a separate schedule or show location and extent of each on Drawings.  Number of colors used on a project will affect cost.</w:t>
      </w:r>
    </w:p>
    <w:p w:rsidR="00BE5BDB" w:rsidRPr="00194740" w:rsidRDefault="00BE5BDB">
      <w:pPr>
        <w:pStyle w:val="ART"/>
        <w:rPr>
          <w:rStyle w:val="Strong"/>
        </w:rPr>
      </w:pPr>
      <w:r w:rsidRPr="00194740">
        <w:rPr>
          <w:rStyle w:val="Strong"/>
        </w:rPr>
        <w:t>INTERIOR INTUMESCENT FINISH COATS</w:t>
      </w:r>
    </w:p>
    <w:p w:rsidR="00BE5BDB" w:rsidRDefault="00BE5BDB">
      <w:pPr>
        <w:pStyle w:val="PR1"/>
      </w:pPr>
      <w:r>
        <w:t>Wood and Hardboard:  Provide the following paint finish systems over [</w:t>
      </w:r>
      <w:r>
        <w:rPr>
          <w:b/>
        </w:rPr>
        <w:t>new</w:t>
      </w:r>
      <w:r>
        <w:t>] [</w:t>
      </w:r>
      <w:r>
        <w:rPr>
          <w:b/>
        </w:rPr>
        <w:t>existing</w:t>
      </w:r>
      <w:r>
        <w:t>] wood surfaces:</w:t>
      </w:r>
    </w:p>
    <w:p w:rsidR="00BE5BDB" w:rsidRDefault="00BE5BDB">
      <w:pPr>
        <w:pStyle w:val="PR2"/>
        <w:spacing w:before="240"/>
      </w:pPr>
      <w:r>
        <w:t>Prime Coat:  Factory-formulated alkyd or latex wood primers applied at spreading rate recommended by manufacturer.</w:t>
      </w:r>
    </w:p>
    <w:p w:rsidR="00BE5BDB" w:rsidRDefault="00BE5BDB">
      <w:pPr>
        <w:pStyle w:val="PR3"/>
        <w:spacing w:before="240"/>
      </w:pPr>
      <w:proofErr w:type="spellStart"/>
      <w:r>
        <w:lastRenderedPageBreak/>
        <w:t>Albi</w:t>
      </w:r>
      <w:proofErr w:type="spellEnd"/>
      <w:r>
        <w:t>:  [</w:t>
      </w:r>
      <w:r>
        <w:rPr>
          <w:b/>
        </w:rPr>
        <w:t>None</w:t>
      </w:r>
      <w:r>
        <w:t>] [</w:t>
      </w:r>
      <w:r>
        <w:rPr>
          <w:b/>
        </w:rPr>
        <w:t xml:space="preserve">Primer approved by </w:t>
      </w:r>
      <w:proofErr w:type="spellStart"/>
      <w:r>
        <w:rPr>
          <w:b/>
        </w:rPr>
        <w:t>Albi</w:t>
      </w:r>
      <w:proofErr w:type="spellEnd"/>
      <w:r>
        <w:t>] [</w:t>
      </w:r>
      <w:proofErr w:type="spellStart"/>
      <w:r>
        <w:rPr>
          <w:b/>
        </w:rPr>
        <w:t>Albi</w:t>
      </w:r>
      <w:proofErr w:type="spellEnd"/>
      <w:r>
        <w:rPr>
          <w:b/>
        </w:rPr>
        <w:t> 490W</w:t>
      </w:r>
      <w:r>
        <w:t>].</w:t>
      </w:r>
    </w:p>
    <w:p w:rsidR="00BE5BDB" w:rsidRDefault="00BE5BDB">
      <w:pPr>
        <w:pStyle w:val="PR3"/>
      </w:pPr>
      <w:r>
        <w:t>FCC:  [</w:t>
      </w:r>
      <w:r>
        <w:rPr>
          <w:b/>
        </w:rPr>
        <w:t>None</w:t>
      </w:r>
      <w:r>
        <w:t>] [</w:t>
      </w:r>
      <w:r>
        <w:rPr>
          <w:b/>
        </w:rPr>
        <w:t>No. 3001 Primer</w:t>
      </w:r>
      <w:r>
        <w:t>].</w:t>
      </w:r>
    </w:p>
    <w:p w:rsidR="00BE5BDB" w:rsidRDefault="00BE5BDB">
      <w:pPr>
        <w:pStyle w:val="PR3"/>
      </w:pPr>
      <w:r>
        <w:t>FRL:  Latex primer.</w:t>
      </w:r>
    </w:p>
    <w:p w:rsidR="00BE5BDB" w:rsidRDefault="00BE5BDB">
      <w:pPr>
        <w:pStyle w:val="PR3"/>
      </w:pPr>
      <w:r>
        <w:t>IFRS:  Primer approved by IFRS.</w:t>
      </w:r>
    </w:p>
    <w:p w:rsidR="00BE5BDB" w:rsidRDefault="00BE5BDB">
      <w:pPr>
        <w:pStyle w:val="PR3"/>
      </w:pPr>
      <w:smartTag w:uri="urn:schemas-microsoft-com:office:smarttags" w:element="City">
        <w:smartTag w:uri="urn:schemas-microsoft-com:office:smarttags" w:element="place">
          <w:r>
            <w:t>Moore</w:t>
          </w:r>
        </w:smartTag>
      </w:smartTag>
      <w:r>
        <w:t xml:space="preserve">:  Fresh Start Alkyd Enamel Underbody or Super Spec Alkyd Enamel </w:t>
      </w:r>
      <w:proofErr w:type="spellStart"/>
      <w:r>
        <w:t>Undercoater</w:t>
      </w:r>
      <w:proofErr w:type="spellEnd"/>
      <w:r>
        <w:t>/Primer Sealer.</w:t>
      </w:r>
    </w:p>
    <w:p w:rsidR="00BE5BDB" w:rsidRDefault="00BE5BDB">
      <w:pPr>
        <w:pStyle w:val="PR3"/>
      </w:pPr>
      <w:proofErr w:type="spellStart"/>
      <w:r>
        <w:t>NoFire</w:t>
      </w:r>
      <w:proofErr w:type="spellEnd"/>
      <w:r>
        <w:t>:  [</w:t>
      </w:r>
      <w:r>
        <w:rPr>
          <w:b/>
        </w:rPr>
        <w:t>None</w:t>
      </w:r>
      <w:r>
        <w:t>] [</w:t>
      </w:r>
      <w:r>
        <w:rPr>
          <w:b/>
        </w:rPr>
        <w:t xml:space="preserve">Primer approved by </w:t>
      </w:r>
      <w:proofErr w:type="spellStart"/>
      <w:r>
        <w:rPr>
          <w:b/>
        </w:rPr>
        <w:t>NoFire</w:t>
      </w:r>
      <w:proofErr w:type="spellEnd"/>
      <w:r>
        <w:t>].</w:t>
      </w:r>
    </w:p>
    <w:p w:rsidR="00BE5BDB" w:rsidRDefault="00BE5BDB">
      <w:pPr>
        <w:pStyle w:val="PR3"/>
      </w:pPr>
      <w:r>
        <w:t xml:space="preserve">PPG:  Speed Hide 6-6 interior quick-drying enamel </w:t>
      </w:r>
      <w:proofErr w:type="spellStart"/>
      <w:r>
        <w:t>undercoater</w:t>
      </w:r>
      <w:proofErr w:type="spellEnd"/>
      <w:r>
        <w:t>.</w:t>
      </w:r>
    </w:p>
    <w:p w:rsidR="00BE5BDB" w:rsidRDefault="00BE5BDB">
      <w:pPr>
        <w:pStyle w:val="PR3"/>
      </w:pPr>
      <w:r>
        <w:t>&lt;</w:t>
      </w:r>
      <w:r>
        <w:rPr>
          <w:b/>
        </w:rPr>
        <w:t>Insert manufacturer's name; product name or designation.</w:t>
      </w:r>
      <w:r>
        <w:t>&gt;</w:t>
      </w:r>
    </w:p>
    <w:p w:rsidR="00BE5BDB" w:rsidRDefault="00BE5BDB">
      <w:pPr>
        <w:pStyle w:val="PR2"/>
        <w:spacing w:before="240"/>
      </w:pPr>
      <w:r>
        <w:t>First[</w:t>
      </w:r>
      <w:r>
        <w:rPr>
          <w:b/>
        </w:rPr>
        <w:t> and Second</w:t>
      </w:r>
      <w:r>
        <w:t>] Coat:  Intumescent-type, fire-retardant paint applied at spreading rate recommended by manufacturer to achieve a total dry film thickness of not less than [</w:t>
      </w:r>
      <w:r w:rsidR="00457FD0">
        <w:rPr>
          <w:rStyle w:val="IP"/>
          <w:b/>
        </w:rPr>
        <w:t>0.10 mm (4 mils)</w:t>
      </w:r>
      <w:r>
        <w:t>] &lt;</w:t>
      </w:r>
      <w:r>
        <w:rPr>
          <w:b/>
        </w:rPr>
        <w:t>Insert number</w:t>
      </w:r>
      <w:r>
        <w:t>&gt;.</w:t>
      </w:r>
    </w:p>
    <w:p w:rsidR="00BE5BDB" w:rsidRDefault="00BE5BDB">
      <w:pPr>
        <w:pStyle w:val="PR3"/>
        <w:spacing w:before="240"/>
      </w:pPr>
      <w:proofErr w:type="spellStart"/>
      <w:r>
        <w:t>Albi</w:t>
      </w:r>
      <w:proofErr w:type="spellEnd"/>
      <w:r>
        <w:t>:  [</w:t>
      </w:r>
      <w:proofErr w:type="spellStart"/>
      <w:r>
        <w:rPr>
          <w:b/>
        </w:rPr>
        <w:t>Albi</w:t>
      </w:r>
      <w:proofErr w:type="spellEnd"/>
      <w:r>
        <w:rPr>
          <w:b/>
        </w:rPr>
        <w:t>-Cote 107A solvent-thinned</w:t>
      </w:r>
      <w:r>
        <w:t>] [</w:t>
      </w:r>
      <w:proofErr w:type="spellStart"/>
      <w:r>
        <w:rPr>
          <w:b/>
        </w:rPr>
        <w:t>Albi</w:t>
      </w:r>
      <w:proofErr w:type="spellEnd"/>
      <w:r>
        <w:rPr>
          <w:b/>
        </w:rPr>
        <w:t>-Cote FRL fire-retardant latex</w:t>
      </w:r>
      <w:r>
        <w:t>] flat coating.</w:t>
      </w:r>
    </w:p>
    <w:p w:rsidR="00BE5BDB" w:rsidRDefault="00BE5BDB">
      <w:pPr>
        <w:pStyle w:val="PR3"/>
      </w:pPr>
      <w:r>
        <w:t>FCC:  [</w:t>
      </w:r>
      <w:r>
        <w:rPr>
          <w:b/>
        </w:rPr>
        <w:t>No. 10-10 solvent-thinned</w:t>
      </w:r>
      <w:r>
        <w:t>] [</w:t>
      </w:r>
      <w:r>
        <w:rPr>
          <w:b/>
        </w:rPr>
        <w:t>No. 20-20 latex</w:t>
      </w:r>
      <w:r>
        <w:t>] flat coating.</w:t>
      </w:r>
    </w:p>
    <w:p w:rsidR="00BE5BDB" w:rsidRDefault="00BE5BDB">
      <w:pPr>
        <w:pStyle w:val="PR3"/>
      </w:pPr>
      <w:r>
        <w:t xml:space="preserve">FRL:  </w:t>
      </w:r>
      <w:proofErr w:type="spellStart"/>
      <w:r>
        <w:t>FireCoat</w:t>
      </w:r>
      <w:proofErr w:type="spellEnd"/>
      <w:r>
        <w:t> 320 flat latex fire-protective coating.</w:t>
      </w:r>
    </w:p>
    <w:p w:rsidR="00BE5BDB" w:rsidRDefault="00BE5BDB">
      <w:pPr>
        <w:pStyle w:val="PR3"/>
      </w:pPr>
      <w:r>
        <w:t>IFRS:  Firefree88 flat latex coating.</w:t>
      </w:r>
    </w:p>
    <w:p w:rsidR="00BE5BDB" w:rsidRDefault="00BE5BDB">
      <w:pPr>
        <w:pStyle w:val="PR3"/>
      </w:pPr>
      <w:smartTag w:uri="urn:schemas-microsoft-com:office:smarttags" w:element="City">
        <w:smartTag w:uri="urn:schemas-microsoft-com:office:smarttags" w:element="place">
          <w:r>
            <w:t>Moore</w:t>
          </w:r>
        </w:smartTag>
      </w:smartTag>
      <w:r>
        <w:t>:  M59 220 latex fire-retardant coating.</w:t>
      </w:r>
    </w:p>
    <w:p w:rsidR="00BE5BDB" w:rsidRDefault="00BE5BDB">
      <w:pPr>
        <w:pStyle w:val="PR3"/>
      </w:pPr>
      <w:proofErr w:type="spellStart"/>
      <w:r>
        <w:t>NoFire</w:t>
      </w:r>
      <w:proofErr w:type="spellEnd"/>
      <w:r>
        <w:t>:  A-18 flat latex intumescent fire-retardant coating.</w:t>
      </w:r>
    </w:p>
    <w:p w:rsidR="00BE5BDB" w:rsidRDefault="00BE5BDB">
      <w:pPr>
        <w:pStyle w:val="PR3"/>
      </w:pPr>
      <w:r>
        <w:t>PPG:  Speed Hide 42-7 flat latex interior fire-retardant coating.</w:t>
      </w:r>
    </w:p>
    <w:p w:rsidR="00BE5BDB" w:rsidRDefault="00BE5BDB">
      <w:pPr>
        <w:pStyle w:val="PR3"/>
      </w:pPr>
      <w:r>
        <w:t>&lt;</w:t>
      </w:r>
      <w:r>
        <w:rPr>
          <w:b/>
        </w:rPr>
        <w:t>Insert manufacturer's name; product name or designation.</w:t>
      </w:r>
      <w:r>
        <w:t>&gt;</w:t>
      </w:r>
    </w:p>
    <w:p w:rsidR="00BE5BDB" w:rsidRDefault="00BE5BDB">
      <w:pPr>
        <w:pStyle w:val="CMT"/>
      </w:pPr>
      <w:r>
        <w:t>Delete subparagraph and list below if substrate does not receive topcoat.</w:t>
      </w:r>
    </w:p>
    <w:p w:rsidR="00BE5BDB" w:rsidRDefault="00BE5BDB">
      <w:pPr>
        <w:pStyle w:val="PR2"/>
        <w:spacing w:before="240"/>
      </w:pPr>
      <w:r>
        <w:t>Topcoat:  Protective fire-inert coating that will not affect fire-retardant class of intumescent coating.</w:t>
      </w:r>
    </w:p>
    <w:p w:rsidR="00BE5BDB" w:rsidRDefault="00BE5BDB">
      <w:pPr>
        <w:pStyle w:val="PR3"/>
        <w:spacing w:before="240"/>
      </w:pPr>
      <w:proofErr w:type="spellStart"/>
      <w:r>
        <w:t>Albi</w:t>
      </w:r>
      <w:proofErr w:type="spellEnd"/>
      <w:r>
        <w:t xml:space="preserve">:  </w:t>
      </w:r>
      <w:proofErr w:type="spellStart"/>
      <w:r>
        <w:t>Albi</w:t>
      </w:r>
      <w:proofErr w:type="spellEnd"/>
      <w:r>
        <w:t xml:space="preserve"> 144 </w:t>
      </w:r>
      <w:proofErr w:type="spellStart"/>
      <w:r>
        <w:t>semigloss</w:t>
      </w:r>
      <w:proofErr w:type="spellEnd"/>
      <w:r>
        <w:t xml:space="preserve"> fire-inert alkyd coating.</w:t>
      </w:r>
    </w:p>
    <w:p w:rsidR="00BE5BDB" w:rsidRDefault="00BE5BDB">
      <w:pPr>
        <w:pStyle w:val="PR3"/>
      </w:pPr>
      <w:r>
        <w:t>FCC:  [</w:t>
      </w:r>
      <w:r>
        <w:rPr>
          <w:b/>
        </w:rPr>
        <w:t>None</w:t>
      </w:r>
      <w:r>
        <w:t>] [</w:t>
      </w:r>
      <w:r>
        <w:rPr>
          <w:b/>
        </w:rPr>
        <w:t xml:space="preserve">No. 30-30, pigmented, solvent-thinned, </w:t>
      </w:r>
      <w:proofErr w:type="spellStart"/>
      <w:r>
        <w:rPr>
          <w:b/>
        </w:rPr>
        <w:t>semigloss</w:t>
      </w:r>
      <w:proofErr w:type="spellEnd"/>
      <w:r>
        <w:t>].</w:t>
      </w:r>
    </w:p>
    <w:p w:rsidR="00BE5BDB" w:rsidRDefault="00BE5BDB">
      <w:pPr>
        <w:pStyle w:val="PR3"/>
      </w:pPr>
      <w:r>
        <w:t>FRL:  [</w:t>
      </w:r>
      <w:r>
        <w:rPr>
          <w:b/>
        </w:rPr>
        <w:t>None</w:t>
      </w:r>
      <w:r>
        <w:t>] [</w:t>
      </w:r>
      <w:proofErr w:type="spellStart"/>
      <w:r>
        <w:rPr>
          <w:b/>
        </w:rPr>
        <w:t>TopCoat</w:t>
      </w:r>
      <w:proofErr w:type="spellEnd"/>
      <w:r>
        <w:rPr>
          <w:b/>
        </w:rPr>
        <w:t> A, clear</w:t>
      </w:r>
      <w:r>
        <w:t>] [</w:t>
      </w:r>
      <w:proofErr w:type="spellStart"/>
      <w:r>
        <w:rPr>
          <w:b/>
        </w:rPr>
        <w:t>TopCoat</w:t>
      </w:r>
      <w:proofErr w:type="spellEnd"/>
      <w:r>
        <w:rPr>
          <w:b/>
        </w:rPr>
        <w:t> X, pigmented</w:t>
      </w:r>
      <w:r>
        <w:t>].</w:t>
      </w:r>
    </w:p>
    <w:p w:rsidR="00BE5BDB" w:rsidRDefault="00BE5BDB">
      <w:pPr>
        <w:pStyle w:val="PR3"/>
      </w:pPr>
      <w:r>
        <w:t>IFRS:  [</w:t>
      </w:r>
      <w:r>
        <w:rPr>
          <w:b/>
        </w:rPr>
        <w:t>None</w:t>
      </w:r>
      <w:r>
        <w:t>] [</w:t>
      </w:r>
      <w:r>
        <w:rPr>
          <w:b/>
        </w:rPr>
        <w:t>Coating approved by IFRS</w:t>
      </w:r>
      <w:r>
        <w:t>].</w:t>
      </w:r>
    </w:p>
    <w:p w:rsidR="00BE5BDB" w:rsidRDefault="00BE5BDB">
      <w:pPr>
        <w:pStyle w:val="PR3"/>
      </w:pPr>
      <w:smartTag w:uri="urn:schemas-microsoft-com:office:smarttags" w:element="City">
        <w:smartTag w:uri="urn:schemas-microsoft-com:office:smarttags" w:element="place">
          <w:r>
            <w:t>Moore</w:t>
          </w:r>
        </w:smartTag>
      </w:smartTag>
      <w:r>
        <w:t>:  None recommended.</w:t>
      </w:r>
    </w:p>
    <w:p w:rsidR="00BE5BDB" w:rsidRDefault="00BE5BDB">
      <w:pPr>
        <w:pStyle w:val="PR3"/>
      </w:pPr>
      <w:proofErr w:type="spellStart"/>
      <w:r>
        <w:t>NoFire</w:t>
      </w:r>
      <w:proofErr w:type="spellEnd"/>
      <w:r>
        <w:t xml:space="preserve">:  Latex-based coating approved by </w:t>
      </w:r>
      <w:proofErr w:type="spellStart"/>
      <w:r>
        <w:t>NoFire</w:t>
      </w:r>
      <w:proofErr w:type="spellEnd"/>
      <w:r>
        <w:t>.</w:t>
      </w:r>
    </w:p>
    <w:p w:rsidR="00BE5BDB" w:rsidRDefault="00BE5BDB">
      <w:pPr>
        <w:pStyle w:val="PR3"/>
      </w:pPr>
      <w:r>
        <w:t>PPG:  None recommended.</w:t>
      </w:r>
    </w:p>
    <w:p w:rsidR="00BE5BDB" w:rsidRDefault="00BE5BDB">
      <w:pPr>
        <w:pStyle w:val="PR3"/>
      </w:pPr>
      <w:r>
        <w:t>&lt;</w:t>
      </w:r>
      <w:r>
        <w:rPr>
          <w:b/>
        </w:rPr>
        <w:t>Insert manufacturer's name product name or designation.</w:t>
      </w:r>
      <w:r>
        <w:t>&gt;</w:t>
      </w:r>
    </w:p>
    <w:p w:rsidR="00BE5BDB" w:rsidRPr="00194740" w:rsidRDefault="00BE5BDB">
      <w:pPr>
        <w:pStyle w:val="ART"/>
        <w:rPr>
          <w:rStyle w:val="Strong"/>
        </w:rPr>
      </w:pPr>
      <w:r w:rsidRPr="00194740">
        <w:rPr>
          <w:rStyle w:val="Strong"/>
        </w:rPr>
        <w:t>EXTERIOR INTUMESCENT FINISH COATS</w:t>
      </w:r>
    </w:p>
    <w:p w:rsidR="00BE5BDB" w:rsidRDefault="00BE5BDB">
      <w:pPr>
        <w:pStyle w:val="PR1"/>
      </w:pPr>
      <w:r>
        <w:t>Wood and Hardboard:  Provide the following paint finish systems over [</w:t>
      </w:r>
      <w:r>
        <w:rPr>
          <w:b/>
        </w:rPr>
        <w:t>new</w:t>
      </w:r>
      <w:r>
        <w:t>] [</w:t>
      </w:r>
      <w:r>
        <w:rPr>
          <w:b/>
        </w:rPr>
        <w:t>existing</w:t>
      </w:r>
      <w:r>
        <w:t>] wood surfaces:</w:t>
      </w:r>
    </w:p>
    <w:p w:rsidR="00BE5BDB" w:rsidRDefault="00BE5BDB">
      <w:pPr>
        <w:pStyle w:val="PR2"/>
        <w:spacing w:before="240"/>
      </w:pPr>
      <w:r>
        <w:t>Prime Coat:  Factory-formulated alkyd or latex wood primers applied at spreading rate recommended by manufacturer.</w:t>
      </w:r>
    </w:p>
    <w:p w:rsidR="00BE5BDB" w:rsidRDefault="00BE5BDB">
      <w:pPr>
        <w:pStyle w:val="PR3"/>
        <w:spacing w:before="240"/>
      </w:pPr>
      <w:proofErr w:type="spellStart"/>
      <w:r>
        <w:t>Albi</w:t>
      </w:r>
      <w:proofErr w:type="spellEnd"/>
      <w:r>
        <w:t>:  None required.</w:t>
      </w:r>
    </w:p>
    <w:p w:rsidR="00BE5BDB" w:rsidRDefault="00BE5BDB">
      <w:pPr>
        <w:pStyle w:val="PR3"/>
      </w:pPr>
      <w:r>
        <w:t>FRL:  Latex primer.</w:t>
      </w:r>
    </w:p>
    <w:p w:rsidR="00BE5BDB" w:rsidRDefault="00BE5BDB">
      <w:pPr>
        <w:pStyle w:val="PR3"/>
      </w:pPr>
      <w:proofErr w:type="spellStart"/>
      <w:r>
        <w:t>NoFire</w:t>
      </w:r>
      <w:proofErr w:type="spellEnd"/>
      <w:r>
        <w:t xml:space="preserve">:  Primer approved by </w:t>
      </w:r>
      <w:proofErr w:type="spellStart"/>
      <w:r>
        <w:t>NoFire</w:t>
      </w:r>
      <w:proofErr w:type="spellEnd"/>
      <w:r>
        <w:t>.</w:t>
      </w:r>
    </w:p>
    <w:p w:rsidR="00BE5BDB" w:rsidRDefault="00BE5BDB">
      <w:pPr>
        <w:pStyle w:val="PR3"/>
      </w:pPr>
      <w:r>
        <w:t>&lt;</w:t>
      </w:r>
      <w:r>
        <w:rPr>
          <w:b/>
        </w:rPr>
        <w:t>Insert manufacturer's name; product name or designation.</w:t>
      </w:r>
      <w:r>
        <w:t>&gt;</w:t>
      </w:r>
    </w:p>
    <w:p w:rsidR="00BE5BDB" w:rsidRDefault="00BE5BDB">
      <w:pPr>
        <w:pStyle w:val="PR2"/>
        <w:spacing w:before="240"/>
      </w:pPr>
      <w:r>
        <w:lastRenderedPageBreak/>
        <w:t>First[</w:t>
      </w:r>
      <w:r>
        <w:rPr>
          <w:b/>
        </w:rPr>
        <w:t> and Second</w:t>
      </w:r>
      <w:r>
        <w:t>] Coat:  Flat, intumescent-type, fire-retardant, latex paint applied at spreading rate recommended by manufacturer to achieve a total dry film thickness of not less than [</w:t>
      </w:r>
      <w:r w:rsidR="00457FD0">
        <w:rPr>
          <w:rStyle w:val="IP"/>
          <w:b/>
        </w:rPr>
        <w:t>0.15 mm (6 mils)</w:t>
      </w:r>
      <w:r>
        <w:t>] &lt;</w:t>
      </w:r>
      <w:r>
        <w:rPr>
          <w:b/>
        </w:rPr>
        <w:t>Insert number</w:t>
      </w:r>
      <w:r>
        <w:t>&gt;.</w:t>
      </w:r>
    </w:p>
    <w:p w:rsidR="00BE5BDB" w:rsidRDefault="00BE5BDB">
      <w:pPr>
        <w:pStyle w:val="PR3"/>
        <w:spacing w:before="240"/>
      </w:pPr>
      <w:proofErr w:type="spellStart"/>
      <w:r>
        <w:t>Albi</w:t>
      </w:r>
      <w:proofErr w:type="spellEnd"/>
      <w:r>
        <w:t xml:space="preserve">:  </w:t>
      </w:r>
      <w:proofErr w:type="spellStart"/>
      <w:r>
        <w:t>Albi</w:t>
      </w:r>
      <w:proofErr w:type="spellEnd"/>
      <w:r>
        <w:t>-Cote 107A solvent-thinned coating.</w:t>
      </w:r>
    </w:p>
    <w:p w:rsidR="00BE5BDB" w:rsidRDefault="00BE5BDB">
      <w:pPr>
        <w:pStyle w:val="PR3"/>
      </w:pPr>
      <w:r>
        <w:t xml:space="preserve">FRL:  </w:t>
      </w:r>
      <w:proofErr w:type="spellStart"/>
      <w:r>
        <w:t>FireCoat</w:t>
      </w:r>
      <w:proofErr w:type="spellEnd"/>
      <w:r>
        <w:t> 320 interior flat latex fire-protective coating.</w:t>
      </w:r>
    </w:p>
    <w:p w:rsidR="00BE5BDB" w:rsidRDefault="00BE5BDB">
      <w:pPr>
        <w:pStyle w:val="PR3"/>
      </w:pPr>
      <w:proofErr w:type="spellStart"/>
      <w:r>
        <w:t>NoFire</w:t>
      </w:r>
      <w:proofErr w:type="spellEnd"/>
      <w:r>
        <w:t>:  A-18 flat latex fire-retardant coating.</w:t>
      </w:r>
    </w:p>
    <w:p w:rsidR="00BE5BDB" w:rsidRDefault="00BE5BDB">
      <w:pPr>
        <w:pStyle w:val="PR3"/>
      </w:pPr>
      <w:r>
        <w:t>&lt;</w:t>
      </w:r>
      <w:r>
        <w:rPr>
          <w:b/>
        </w:rPr>
        <w:t>Insert manufacturer's name; product name or designation.</w:t>
      </w:r>
      <w:r>
        <w:t>&gt;</w:t>
      </w:r>
    </w:p>
    <w:p w:rsidR="00BE5BDB" w:rsidRDefault="00BE5BDB">
      <w:pPr>
        <w:pStyle w:val="PR2"/>
        <w:spacing w:before="240"/>
      </w:pPr>
      <w:r>
        <w:t>Topcoat:  Protective fire-inert coating that will not affect fire-retardant class of intumescent coating.</w:t>
      </w:r>
    </w:p>
    <w:p w:rsidR="00BE5BDB" w:rsidRDefault="00BE5BDB">
      <w:pPr>
        <w:pStyle w:val="PR3"/>
        <w:spacing w:before="240"/>
      </w:pPr>
      <w:proofErr w:type="spellStart"/>
      <w:r>
        <w:t>Albi</w:t>
      </w:r>
      <w:proofErr w:type="spellEnd"/>
      <w:r>
        <w:t xml:space="preserve">:  </w:t>
      </w:r>
      <w:proofErr w:type="spellStart"/>
      <w:r>
        <w:t>Albi</w:t>
      </w:r>
      <w:proofErr w:type="spellEnd"/>
      <w:r>
        <w:t xml:space="preserve"> 144 </w:t>
      </w:r>
      <w:proofErr w:type="spellStart"/>
      <w:r>
        <w:t>semigloss</w:t>
      </w:r>
      <w:proofErr w:type="spellEnd"/>
      <w:r>
        <w:t xml:space="preserve"> fire-inert solvent-thinned coating.</w:t>
      </w:r>
    </w:p>
    <w:p w:rsidR="00BE5BDB" w:rsidRDefault="00BE5BDB">
      <w:pPr>
        <w:pStyle w:val="PR3"/>
      </w:pPr>
      <w:r>
        <w:t>FRL:  [</w:t>
      </w:r>
      <w:proofErr w:type="spellStart"/>
      <w:r>
        <w:rPr>
          <w:b/>
        </w:rPr>
        <w:t>TopCoat</w:t>
      </w:r>
      <w:proofErr w:type="spellEnd"/>
      <w:r>
        <w:rPr>
          <w:b/>
        </w:rPr>
        <w:t> A, clear</w:t>
      </w:r>
      <w:r>
        <w:t>] [</w:t>
      </w:r>
      <w:proofErr w:type="spellStart"/>
      <w:r>
        <w:rPr>
          <w:b/>
        </w:rPr>
        <w:t>TopCoat</w:t>
      </w:r>
      <w:proofErr w:type="spellEnd"/>
      <w:r>
        <w:rPr>
          <w:b/>
        </w:rPr>
        <w:t> X, pigmented</w:t>
      </w:r>
      <w:r>
        <w:t>] fire-protective coating.</w:t>
      </w:r>
    </w:p>
    <w:p w:rsidR="00BE5BDB" w:rsidRDefault="00BE5BDB">
      <w:pPr>
        <w:pStyle w:val="PR3"/>
      </w:pPr>
      <w:proofErr w:type="spellStart"/>
      <w:r>
        <w:t>NoFire</w:t>
      </w:r>
      <w:proofErr w:type="spellEnd"/>
      <w:r>
        <w:t xml:space="preserve">:  Latex-based coating approved by </w:t>
      </w:r>
      <w:proofErr w:type="spellStart"/>
      <w:r>
        <w:t>NoFire</w:t>
      </w:r>
      <w:proofErr w:type="spellEnd"/>
      <w:r>
        <w:t>.</w:t>
      </w:r>
    </w:p>
    <w:p w:rsidR="00BE5BDB" w:rsidRDefault="00BE5BDB">
      <w:pPr>
        <w:pStyle w:val="PR3"/>
      </w:pPr>
      <w:r>
        <w:t>&lt;</w:t>
      </w:r>
      <w:r>
        <w:rPr>
          <w:b/>
        </w:rPr>
        <w:t>Insert manufacturer's name; product name or designation.</w:t>
      </w:r>
      <w:r>
        <w:t>&gt;</w:t>
      </w:r>
    </w:p>
    <w:p w:rsidR="00BE5BDB" w:rsidRPr="00194740" w:rsidRDefault="00BE5BDB">
      <w:pPr>
        <w:pStyle w:val="ART"/>
        <w:rPr>
          <w:rStyle w:val="Strong"/>
        </w:rPr>
      </w:pPr>
      <w:r w:rsidRPr="00194740">
        <w:rPr>
          <w:rStyle w:val="Strong"/>
        </w:rPr>
        <w:t>INTUMESCENT CLEAR FINISH COATS</w:t>
      </w:r>
    </w:p>
    <w:p w:rsidR="00BE5BDB" w:rsidRDefault="00BE5BDB">
      <w:pPr>
        <w:pStyle w:val="PR1"/>
      </w:pPr>
      <w:r>
        <w:t>[</w:t>
      </w:r>
      <w:r>
        <w:rPr>
          <w:b/>
        </w:rPr>
        <w:t>Clear</w:t>
      </w:r>
      <w:r>
        <w:t>] [</w:t>
      </w:r>
      <w:r>
        <w:rPr>
          <w:b/>
        </w:rPr>
        <w:t>Stained</w:t>
      </w:r>
      <w:r>
        <w:t>] Woodwork:  Provide the following finishes over [</w:t>
      </w:r>
      <w:r>
        <w:rPr>
          <w:b/>
        </w:rPr>
        <w:t>new</w:t>
      </w:r>
      <w:r>
        <w:t>] [</w:t>
      </w:r>
      <w:r>
        <w:rPr>
          <w:b/>
        </w:rPr>
        <w:t>existing</w:t>
      </w:r>
      <w:r>
        <w:t>] woodwork:</w:t>
      </w:r>
    </w:p>
    <w:p w:rsidR="00BE5BDB" w:rsidRDefault="00BE5BDB">
      <w:pPr>
        <w:pStyle w:val="CMT"/>
      </w:pPr>
      <w:r>
        <w:t>Delete first subparagraph and associated subparagraph below if woodwork is not stained.</w:t>
      </w:r>
    </w:p>
    <w:p w:rsidR="00BE5BDB" w:rsidRDefault="00BE5BDB">
      <w:pPr>
        <w:pStyle w:val="PR2"/>
        <w:spacing w:before="240"/>
      </w:pPr>
      <w:r>
        <w:t xml:space="preserve">Stain Coat:  Factory-formulated, </w:t>
      </w:r>
      <w:proofErr w:type="spellStart"/>
      <w:r>
        <w:t>nonbleeding</w:t>
      </w:r>
      <w:proofErr w:type="spellEnd"/>
      <w:r>
        <w:t>, alkyd-based penetrating wood stain for [</w:t>
      </w:r>
      <w:r>
        <w:rPr>
          <w:b/>
        </w:rPr>
        <w:t>interior</w:t>
      </w:r>
      <w:r>
        <w:t>] [</w:t>
      </w:r>
      <w:r>
        <w:rPr>
          <w:b/>
        </w:rPr>
        <w:t>exterior</w:t>
      </w:r>
      <w:r>
        <w:t>] application applied at spreading rate recommended by manufacturer.</w:t>
      </w:r>
    </w:p>
    <w:p w:rsidR="00BE5BDB" w:rsidRDefault="00BE5BDB">
      <w:pPr>
        <w:pStyle w:val="PR3"/>
        <w:spacing w:before="240"/>
      </w:pPr>
      <w:r>
        <w:t>Stain approved by intumescent coating manufacturer.</w:t>
      </w:r>
    </w:p>
    <w:p w:rsidR="00BE5BDB" w:rsidRDefault="00BE5BDB">
      <w:pPr>
        <w:pStyle w:val="PR2"/>
        <w:spacing w:before="240"/>
      </w:pPr>
      <w:r>
        <w:t>Clear Sanding Sealer:  Factory-formulated, fast drying, alkyd-based clear wood sealer for interior application applied at spreading rate recommended by manufacturer.</w:t>
      </w:r>
    </w:p>
    <w:p w:rsidR="00BE5BDB" w:rsidRDefault="00BE5BDB">
      <w:pPr>
        <w:pStyle w:val="PR3"/>
        <w:spacing w:before="240"/>
      </w:pPr>
      <w:r>
        <w:t>FCC:  No. 6 clear interior/exterior sealer.</w:t>
      </w:r>
    </w:p>
    <w:p w:rsidR="00BE5BDB" w:rsidRDefault="00BE5BDB">
      <w:pPr>
        <w:pStyle w:val="PR3"/>
      </w:pPr>
      <w:r>
        <w:t>FRL:  Sealer approved by FRL.</w:t>
      </w:r>
    </w:p>
    <w:p w:rsidR="00BE5BDB" w:rsidRDefault="00BE5BDB">
      <w:pPr>
        <w:pStyle w:val="PR3"/>
      </w:pPr>
      <w:r>
        <w:t>&lt;</w:t>
      </w:r>
      <w:r>
        <w:rPr>
          <w:b/>
        </w:rPr>
        <w:t>Insert manufacturer's name; product name or designation.</w:t>
      </w:r>
      <w:r>
        <w:t>&gt;</w:t>
      </w:r>
    </w:p>
    <w:p w:rsidR="00BE5BDB" w:rsidRDefault="00BE5BDB">
      <w:pPr>
        <w:pStyle w:val="PR2"/>
        <w:spacing w:before="240"/>
      </w:pPr>
      <w:r>
        <w:t>First[</w:t>
      </w:r>
      <w:r>
        <w:rPr>
          <w:b/>
        </w:rPr>
        <w:t> and Second</w:t>
      </w:r>
      <w:r>
        <w:t>] Coat:  Clear, intumescent-type, fire-retardant varnish applied at spreading rate recommended by manufacturer to achieve a total dry film thickness of not less than [</w:t>
      </w:r>
      <w:r w:rsidR="00457FD0">
        <w:rPr>
          <w:rStyle w:val="IP"/>
          <w:b/>
        </w:rPr>
        <w:t>0.15 mm (6 mils)</w:t>
      </w:r>
      <w:r>
        <w:t>] &lt;</w:t>
      </w:r>
      <w:r>
        <w:rPr>
          <w:b/>
        </w:rPr>
        <w:t>Insert number</w:t>
      </w:r>
      <w:r>
        <w:t>&gt;.</w:t>
      </w:r>
    </w:p>
    <w:p w:rsidR="00BE5BDB" w:rsidRDefault="00BE5BDB">
      <w:pPr>
        <w:pStyle w:val="PR3"/>
        <w:spacing w:before="240"/>
      </w:pPr>
      <w:r>
        <w:t>FCC:  No. 166 (Class A) interior, solvent-thinned satin finish.</w:t>
      </w:r>
    </w:p>
    <w:p w:rsidR="00BE5BDB" w:rsidRDefault="00BE5BDB">
      <w:pPr>
        <w:pStyle w:val="PR3"/>
      </w:pPr>
      <w:r>
        <w:t xml:space="preserve">FRL:  </w:t>
      </w:r>
      <w:proofErr w:type="spellStart"/>
      <w:r>
        <w:t>ClearCoat</w:t>
      </w:r>
      <w:proofErr w:type="spellEnd"/>
      <w:r>
        <w:t> II, solvent-thinned [</w:t>
      </w:r>
      <w:r>
        <w:rPr>
          <w:b/>
        </w:rPr>
        <w:t>flat</w:t>
      </w:r>
      <w:r>
        <w:t>] [</w:t>
      </w:r>
      <w:r>
        <w:rPr>
          <w:b/>
        </w:rPr>
        <w:t>satin</w:t>
      </w:r>
      <w:r>
        <w:t>] finish.</w:t>
      </w:r>
    </w:p>
    <w:p w:rsidR="00BE5BDB" w:rsidRDefault="00BE5BDB">
      <w:pPr>
        <w:pStyle w:val="PR3"/>
      </w:pPr>
      <w:r>
        <w:t>&lt;</w:t>
      </w:r>
      <w:r>
        <w:rPr>
          <w:b/>
        </w:rPr>
        <w:t>Insert manufacturer's name; product name or designation.</w:t>
      </w:r>
      <w:r>
        <w:t>&gt;</w:t>
      </w:r>
    </w:p>
    <w:p w:rsidR="00BE5BDB" w:rsidRDefault="00BE5BDB">
      <w:pPr>
        <w:pStyle w:val="CMT"/>
      </w:pPr>
      <w:r>
        <w:t>Delete subparagraph and list below if substrate does not receive topcoat.</w:t>
      </w:r>
    </w:p>
    <w:p w:rsidR="00BE5BDB" w:rsidRDefault="00BE5BDB">
      <w:pPr>
        <w:pStyle w:val="PR2"/>
        <w:spacing w:before="240"/>
      </w:pPr>
      <w:r>
        <w:t>Topcoat:  Protective fire-inert clear coating that will not affect fire-test-response characteristics of intumescent coating.</w:t>
      </w:r>
    </w:p>
    <w:p w:rsidR="00BE5BDB" w:rsidRDefault="00BE5BDB">
      <w:pPr>
        <w:pStyle w:val="PR3"/>
        <w:spacing w:before="240"/>
      </w:pPr>
      <w:r>
        <w:t>FCC:  No. 167 (Class A) interior, solvent-thinned [</w:t>
      </w:r>
      <w:r>
        <w:rPr>
          <w:b/>
        </w:rPr>
        <w:t>low</w:t>
      </w:r>
      <w:r>
        <w:t>] [</w:t>
      </w:r>
      <w:proofErr w:type="spellStart"/>
      <w:r>
        <w:rPr>
          <w:b/>
        </w:rPr>
        <w:t>semigloss</w:t>
      </w:r>
      <w:proofErr w:type="spellEnd"/>
      <w:r>
        <w:t>] [</w:t>
      </w:r>
      <w:r>
        <w:rPr>
          <w:b/>
        </w:rPr>
        <w:t>hi-gloss</w:t>
      </w:r>
      <w:r>
        <w:t>] sheen.</w:t>
      </w:r>
    </w:p>
    <w:p w:rsidR="00BE5BDB" w:rsidRDefault="00BE5BDB">
      <w:pPr>
        <w:pStyle w:val="PR3"/>
      </w:pPr>
      <w:r>
        <w:t xml:space="preserve">FRL:  </w:t>
      </w:r>
      <w:proofErr w:type="spellStart"/>
      <w:r>
        <w:t>TopCoat</w:t>
      </w:r>
      <w:proofErr w:type="spellEnd"/>
      <w:r>
        <w:t> A, clear, [</w:t>
      </w:r>
      <w:r>
        <w:rPr>
          <w:b/>
        </w:rPr>
        <w:t>flat</w:t>
      </w:r>
      <w:r>
        <w:t>] [</w:t>
      </w:r>
      <w:r>
        <w:rPr>
          <w:b/>
        </w:rPr>
        <w:t>satin</w:t>
      </w:r>
      <w:r>
        <w:t>] [</w:t>
      </w:r>
      <w:proofErr w:type="spellStart"/>
      <w:r>
        <w:rPr>
          <w:b/>
        </w:rPr>
        <w:t>semigloss</w:t>
      </w:r>
      <w:proofErr w:type="spellEnd"/>
      <w:r>
        <w:t>] [</w:t>
      </w:r>
      <w:r>
        <w:rPr>
          <w:b/>
        </w:rPr>
        <w:t>hi-gloss</w:t>
      </w:r>
      <w:r>
        <w:t>] sheen.</w:t>
      </w:r>
    </w:p>
    <w:p w:rsidR="00BE5BDB" w:rsidRDefault="00BE5BDB">
      <w:pPr>
        <w:pStyle w:val="PR3"/>
      </w:pPr>
      <w:r>
        <w:t>&lt;</w:t>
      </w:r>
      <w:r>
        <w:rPr>
          <w:b/>
        </w:rPr>
        <w:t>Insert manufacturer's name; product name or designation.</w:t>
      </w:r>
      <w:r>
        <w:t>&gt;</w:t>
      </w:r>
    </w:p>
    <w:p w:rsidR="00BE5BDB" w:rsidRPr="00194740" w:rsidRDefault="00BE5BDB">
      <w:pPr>
        <w:pStyle w:val="PRT"/>
        <w:rPr>
          <w:rStyle w:val="Strong"/>
        </w:rPr>
      </w:pPr>
      <w:r w:rsidRPr="00194740">
        <w:rPr>
          <w:rStyle w:val="Strong"/>
        </w:rPr>
        <w:lastRenderedPageBreak/>
        <w:t>EXECUTION</w:t>
      </w:r>
    </w:p>
    <w:p w:rsidR="00BE5BDB" w:rsidRPr="00194740" w:rsidRDefault="00BE5BDB">
      <w:pPr>
        <w:pStyle w:val="ART"/>
        <w:rPr>
          <w:rStyle w:val="Strong"/>
        </w:rPr>
      </w:pPr>
      <w:r w:rsidRPr="00194740">
        <w:rPr>
          <w:rStyle w:val="Strong"/>
        </w:rPr>
        <w:t>EXAMINATION</w:t>
      </w:r>
    </w:p>
    <w:p w:rsidR="00BE5BDB" w:rsidRDefault="00BE5BDB">
      <w:pPr>
        <w:pStyle w:val="CMT"/>
      </w:pPr>
      <w:r>
        <w:t>Always retain this Article.  Before starting, ensure that surfaces are in proper condition to receive intumescent paint, or failure is possible.</w:t>
      </w:r>
    </w:p>
    <w:p w:rsidR="00BE5BDB" w:rsidRDefault="00BE5BDB">
      <w:pPr>
        <w:pStyle w:val="PR1"/>
      </w:pPr>
      <w:r>
        <w:t>Examine substrates, areas, and conditions, with Applicator present, for compliance with requirements and other conditions affecting performance of work.</w:t>
      </w:r>
    </w:p>
    <w:p w:rsidR="00BE5BDB" w:rsidRDefault="00BE5BDB">
      <w:pPr>
        <w:pStyle w:val="PR2"/>
        <w:spacing w:before="240"/>
      </w:pPr>
      <w:r>
        <w:t>Proceed with application only after unsatisfactory conditions have been corrected and surfaces to receive paint are thoroughly dry.</w:t>
      </w:r>
    </w:p>
    <w:p w:rsidR="00BE5BDB" w:rsidRDefault="00BE5BDB">
      <w:pPr>
        <w:pStyle w:val="PR2"/>
      </w:pPr>
      <w:r>
        <w:t>Start of painting will be construed as Applicator's acceptance of surfaces and conditions within a particular area.</w:t>
      </w:r>
    </w:p>
    <w:p w:rsidR="00BE5BDB" w:rsidRDefault="00BE5BDB">
      <w:pPr>
        <w:pStyle w:val="CMT"/>
      </w:pPr>
      <w:r>
        <w:t>Before applying paint, consult manufacturer to determine if there are potential problems with use of intumescent paints over existing primers or previously applied coatings.  Coordinating shop-applied primers with intumescent paint is critical.  If problems exist, it may be necessary to provide barrier coats or to remove existing material and reprime substrate.</w:t>
      </w:r>
    </w:p>
    <w:p w:rsidR="00BE5BDB" w:rsidRDefault="00BE5BDB">
      <w:pPr>
        <w:pStyle w:val="PR1"/>
      </w:pPr>
      <w:r>
        <w:t xml:space="preserve">Coordination of Work:  Review other Sections in which primers are provided to ensure compatibility of the total intumescent paint system for various substrates.  On </w:t>
      </w:r>
      <w:r w:rsidR="00E24355">
        <w:t>Contracting Officer</w:t>
      </w:r>
      <w:r>
        <w:t>'s request, furnish information on characteristics of finish materials to ensure use of compatible primers.</w:t>
      </w:r>
    </w:p>
    <w:p w:rsidR="00BE5BDB" w:rsidRDefault="00BE5BDB">
      <w:pPr>
        <w:pStyle w:val="PR2"/>
        <w:spacing w:before="240"/>
      </w:pPr>
      <w:r>
        <w:t xml:space="preserve">Notify </w:t>
      </w:r>
      <w:r w:rsidR="00E24355">
        <w:t>Contracting Officer</w:t>
      </w:r>
      <w:r>
        <w:t xml:space="preserve"> about problems anticipated when using coatings specified over substrates primed by others.</w:t>
      </w:r>
    </w:p>
    <w:p w:rsidR="00BE5BDB" w:rsidRPr="000A3E7A" w:rsidRDefault="00BE5BDB">
      <w:pPr>
        <w:pStyle w:val="ART"/>
        <w:rPr>
          <w:rStyle w:val="Strong"/>
        </w:rPr>
      </w:pPr>
      <w:r w:rsidRPr="000A3E7A">
        <w:rPr>
          <w:rStyle w:val="Strong"/>
        </w:rPr>
        <w:t>PREPARATION</w:t>
      </w:r>
    </w:p>
    <w:p w:rsidR="00BE5BDB" w:rsidRDefault="00BE5BDB">
      <w:pPr>
        <w:pStyle w:val="CMT"/>
      </w:pPr>
      <w:r>
        <w:t>Revise first paragraph and subparagraph below if additional requirements are necessary to suit Project.</w:t>
      </w:r>
    </w:p>
    <w:p w:rsidR="00BE5BDB" w:rsidRDefault="00BE5BDB">
      <w:pPr>
        <w:pStyle w:val="PR1"/>
      </w:pPr>
      <w:r>
        <w:t>General:  Remove hardware, hardware accessories, plates, machined surfaces, lighting fixtures, and similar items already installed that are not to be painted.  If removal is impractical or impossible because of size or weight of item, provide surface-applied protection before surface preparation and painting.</w:t>
      </w:r>
    </w:p>
    <w:p w:rsidR="00BE5BDB" w:rsidRDefault="00BE5BDB">
      <w:pPr>
        <w:pStyle w:val="PR2"/>
        <w:spacing w:before="240"/>
      </w:pPr>
      <w:r>
        <w:t>After completing painting operations in each space or area, reinstall items removed using workers skilled in the trades involved.</w:t>
      </w:r>
    </w:p>
    <w:p w:rsidR="00BE5BDB" w:rsidRDefault="00BE5BDB">
      <w:pPr>
        <w:pStyle w:val="PR1"/>
      </w:pPr>
      <w:r>
        <w:t>Cleaning:  Before applying coatings or other surface treatments, clean substrates of substances that could impair bond of intumescent paint systems.</w:t>
      </w:r>
    </w:p>
    <w:p w:rsidR="00BE5BDB" w:rsidRDefault="00BE5BDB">
      <w:pPr>
        <w:pStyle w:val="PR2"/>
        <w:spacing w:before="240"/>
      </w:pPr>
      <w:r>
        <w:t>Schedule cleaning and painting application so dust and other contaminants will not fall on wet, newly painted surfaces.</w:t>
      </w:r>
    </w:p>
    <w:p w:rsidR="00BE5BDB" w:rsidRDefault="00BE5BDB">
      <w:pPr>
        <w:pStyle w:val="CMT"/>
      </w:pPr>
      <w:r>
        <w:t>Always retain paragraph and subparagraphs below that specify surface preparation.  Proper surface preparation is essential for satisfactory intumescent paint performance.  If necessary, revise requirements to include special procedures requested by manufacturers or to suit Project.</w:t>
      </w:r>
    </w:p>
    <w:p w:rsidR="00BE5BDB" w:rsidRDefault="00BE5BDB">
      <w:pPr>
        <w:pStyle w:val="PR1"/>
      </w:pPr>
      <w:r>
        <w:t>Surface Preparation:  Clean and prepare surfaces to be painted according to manufacturer's written instructions for each particular substrate condition and as specified.</w:t>
      </w:r>
    </w:p>
    <w:p w:rsidR="00BE5BDB" w:rsidRDefault="00BE5BDB">
      <w:pPr>
        <w:pStyle w:val="CMT"/>
      </w:pPr>
      <w:r>
        <w:t>Coordinating shop-applied primers with finish coats is critical.  See "Coordination of Work" Paragraph in "Examination" Article.  If compatibility problems develop, it may be necessary to provide barrier coats over shop-applied primers or to remove primer and reprime substrate.</w:t>
      </w:r>
    </w:p>
    <w:p w:rsidR="00BE5BDB" w:rsidRDefault="00BE5BDB">
      <w:pPr>
        <w:pStyle w:val="PR2"/>
        <w:spacing w:before="240"/>
      </w:pPr>
      <w:r>
        <w:t xml:space="preserve">Provide barrier coats over incompatible primers or remove and </w:t>
      </w:r>
      <w:proofErr w:type="spellStart"/>
      <w:r>
        <w:t>reprime</w:t>
      </w:r>
      <w:proofErr w:type="spellEnd"/>
      <w:r>
        <w:t>.</w:t>
      </w:r>
    </w:p>
    <w:p w:rsidR="00BE5BDB" w:rsidRDefault="00BE5BDB">
      <w:pPr>
        <w:pStyle w:val="PR2"/>
      </w:pPr>
      <w:r>
        <w:t>Wood Surfaces:  Clean surfaces of dirt, oil, and other foreign substances with scrapers, mineral spirits, and sandpaper, as required.  Sand surfaces exposed to view smooth and dust off.</w:t>
      </w:r>
    </w:p>
    <w:p w:rsidR="00BE5BDB" w:rsidRDefault="00BE5BDB">
      <w:pPr>
        <w:pStyle w:val="PR3"/>
        <w:spacing w:before="240"/>
      </w:pPr>
      <w:r>
        <w:t>Scrape and clean small, dry, seasoned knots and apply a thin coat of manufacturer's recommended knot sealer before applying prime coat.  After priming, fill holes and imperfections in finished surfaces with putty or plastic wood filler.  Sand smooth when dry.</w:t>
      </w:r>
    </w:p>
    <w:p w:rsidR="00BE5BDB" w:rsidRDefault="00BE5BDB">
      <w:pPr>
        <w:pStyle w:val="PR3"/>
      </w:pPr>
      <w:r>
        <w:lastRenderedPageBreak/>
        <w:t>Prime, stain, or seal wood to be painted immediately on delivery.  Prime edges, ends, faces, undersides, and back sides of wood, including cabinets, counter, cases, and paneling.</w:t>
      </w:r>
    </w:p>
    <w:p w:rsidR="00BE5BDB" w:rsidRDefault="00BE5BDB">
      <w:pPr>
        <w:pStyle w:val="PR3"/>
      </w:pPr>
      <w:r>
        <w:t xml:space="preserve">If transparent (clear) finish is required, </w:t>
      </w:r>
      <w:proofErr w:type="spellStart"/>
      <w:r>
        <w:t>backprime</w:t>
      </w:r>
      <w:proofErr w:type="spellEnd"/>
      <w:r>
        <w:t xml:space="preserve"> with spar varnish.</w:t>
      </w:r>
    </w:p>
    <w:p w:rsidR="00BE5BDB" w:rsidRDefault="00BE5BDB">
      <w:pPr>
        <w:pStyle w:val="PR3"/>
      </w:pPr>
      <w:proofErr w:type="spellStart"/>
      <w:r>
        <w:t>Backprime</w:t>
      </w:r>
      <w:proofErr w:type="spellEnd"/>
      <w:r>
        <w:t xml:space="preserve"> paneling on interior partitions where masonry, plaster, or other wet wall construction occurs on back side.</w:t>
      </w:r>
    </w:p>
    <w:p w:rsidR="00BE5BDB" w:rsidRDefault="00BE5BDB">
      <w:pPr>
        <w:pStyle w:val="PR3"/>
      </w:pPr>
      <w:r>
        <w:t>Seal tops, bot</w:t>
      </w:r>
      <w:smartTag w:uri="urn:schemas-microsoft-com:office:smarttags" w:element="PersonName">
        <w:r>
          <w:t>tom</w:t>
        </w:r>
      </w:smartTag>
      <w:r>
        <w:t>s, and cutouts of unprimed wood doors with a heavy coat of varnish or sealer immediately on delivery.</w:t>
      </w:r>
    </w:p>
    <w:p w:rsidR="00BE5BDB" w:rsidRDefault="00BE5BDB">
      <w:pPr>
        <w:pStyle w:val="CMT"/>
      </w:pPr>
      <w:r>
        <w:t>Revise paragraph and subparagraphs below to suit products specified.</w:t>
      </w:r>
    </w:p>
    <w:p w:rsidR="00BE5BDB" w:rsidRDefault="00BE5BDB">
      <w:pPr>
        <w:pStyle w:val="PR1"/>
      </w:pPr>
      <w:r>
        <w:t>Material Preparation:  Mix and prepare paint materials according to manufacturer's written instructions.</w:t>
      </w:r>
    </w:p>
    <w:p w:rsidR="00BE5BDB" w:rsidRDefault="00BE5BDB">
      <w:pPr>
        <w:pStyle w:val="PR2"/>
        <w:spacing w:before="240"/>
      </w:pPr>
      <w:r>
        <w:t>Maintain containers used in mixing and applying paint in a clean condition, free of foreign materials and residue.</w:t>
      </w:r>
    </w:p>
    <w:p w:rsidR="00BE5BDB" w:rsidRDefault="00BE5BDB">
      <w:pPr>
        <w:pStyle w:val="PR2"/>
      </w:pPr>
      <w:r>
        <w:t>Stir material before application to produce a mixture of uniform density, and as required during application.  Do not stir surface film into material.  If necessary, remove surface film and strain material before using.</w:t>
      </w:r>
    </w:p>
    <w:p w:rsidR="00BE5BDB" w:rsidRDefault="00BE5BDB">
      <w:pPr>
        <w:pStyle w:val="PR2"/>
      </w:pPr>
      <w:r>
        <w:t>Use only thinners recommended by manufacturer and only within recommended limits.</w:t>
      </w:r>
    </w:p>
    <w:p w:rsidR="00BE5BDB" w:rsidRDefault="00BE5BDB">
      <w:pPr>
        <w:pStyle w:val="CMT"/>
      </w:pPr>
      <w:r>
        <w:t>Delete paragraph below if tinting is not required.  Different tints will show through as topcoat erodes.</w:t>
      </w:r>
    </w:p>
    <w:p w:rsidR="00BE5BDB" w:rsidRDefault="00BE5BDB">
      <w:pPr>
        <w:pStyle w:val="PR1"/>
      </w:pPr>
      <w:r>
        <w:t>Tinting:  Tint each undercoat a lighter shade to simplify identification of each coat when multiple coats of same material are applied.  Tint undercoats to match color of finish coat, but provide sufficient differences in shade of undercoats to distinguish each separate coat.</w:t>
      </w:r>
    </w:p>
    <w:p w:rsidR="00BE5BDB" w:rsidRPr="000A3E7A" w:rsidRDefault="00BE5BDB">
      <w:pPr>
        <w:pStyle w:val="ART"/>
        <w:rPr>
          <w:rStyle w:val="Strong"/>
        </w:rPr>
      </w:pPr>
      <w:r w:rsidRPr="000A3E7A">
        <w:rPr>
          <w:rStyle w:val="Strong"/>
        </w:rPr>
        <w:t>APPLICATION</w:t>
      </w:r>
    </w:p>
    <w:p w:rsidR="00BE5BDB" w:rsidRDefault="00BE5BDB">
      <w:pPr>
        <w:pStyle w:val="CMT"/>
      </w:pPr>
      <w:r>
        <w:t>Revise this Article to suit Project.  Add special restrictions on application methods if required.</w:t>
      </w:r>
    </w:p>
    <w:p w:rsidR="00BE5BDB" w:rsidRDefault="00BE5BDB">
      <w:pPr>
        <w:pStyle w:val="PR1"/>
      </w:pPr>
      <w:r>
        <w:t>General:  Apply intumescent paints according to manufacturer's written instructions.  Use applicators and techniques best suited for substrate and type of material being applied.</w:t>
      </w:r>
    </w:p>
    <w:p w:rsidR="00BE5BDB" w:rsidRDefault="00BE5BDB">
      <w:pPr>
        <w:pStyle w:val="CMT"/>
      </w:pPr>
      <w:r>
        <w:t>Revise first subparagraph below if colors are not indicated in a schedule.</w:t>
      </w:r>
    </w:p>
    <w:p w:rsidR="00BE5BDB" w:rsidRDefault="00BE5BDB">
      <w:pPr>
        <w:pStyle w:val="PR2"/>
        <w:spacing w:before="240"/>
      </w:pPr>
      <w:r>
        <w:t>Paint colors, surface treatments, and finishes are indicated in paint schedules.</w:t>
      </w:r>
    </w:p>
    <w:p w:rsidR="00BE5BDB" w:rsidRDefault="00BE5BDB">
      <w:pPr>
        <w:pStyle w:val="PR2"/>
      </w:pPr>
      <w:r>
        <w:t>Do not paint over dirt, rust, scale, grease, moisture, scuffed surfaces, or conditions detrimental to forming a durable paint film.</w:t>
      </w:r>
    </w:p>
    <w:p w:rsidR="00BE5BDB" w:rsidRDefault="00BE5BDB">
      <w:pPr>
        <w:pStyle w:val="PR2"/>
      </w:pPr>
      <w:r>
        <w:t>Provide finish coats that are compatible with primers used.</w:t>
      </w:r>
    </w:p>
    <w:p w:rsidR="00BE5BDB" w:rsidRDefault="00BE5BDB">
      <w:pPr>
        <w:pStyle w:val="PR2"/>
      </w:pPr>
      <w:r>
        <w:t>The term "exposed surfaces" includes areas visible when permanent or built-in fixtures and similar components are in place.  Extend coatings in these areas, as required, to maintain system integrity and provide desired protection.</w:t>
      </w:r>
    </w:p>
    <w:p w:rsidR="00BE5BDB" w:rsidRDefault="00BE5BDB">
      <w:pPr>
        <w:pStyle w:val="PR2"/>
      </w:pPr>
      <w:r>
        <w:t>Paint surfaces behind movable equipment and furniture the same as similar exposed surfaces.</w:t>
      </w:r>
    </w:p>
    <w:p w:rsidR="00BE5BDB" w:rsidRDefault="00BE5BDB">
      <w:pPr>
        <w:pStyle w:val="CMT"/>
      </w:pPr>
      <w:r>
        <w:t>Application in subparagraph below limits intumescent paint to door faces because activation of coating on edges may interfere with door opening.</w:t>
      </w:r>
    </w:p>
    <w:p w:rsidR="00BE5BDB" w:rsidRDefault="00BE5BDB">
      <w:pPr>
        <w:pStyle w:val="PR2"/>
      </w:pPr>
      <w:r>
        <w:t>Finish doors on faces with intumescent finish.  Paint tops, bot</w:t>
      </w:r>
      <w:smartTag w:uri="urn:schemas-microsoft-com:office:smarttags" w:element="PersonName">
        <w:r>
          <w:t>tom</w:t>
        </w:r>
      </w:smartTag>
      <w:r>
        <w:t>s, and side edges with fire-inert finish.</w:t>
      </w:r>
    </w:p>
    <w:p w:rsidR="00BE5BDB" w:rsidRDefault="00BE5BDB">
      <w:pPr>
        <w:pStyle w:val="PR1"/>
      </w:pPr>
      <w:r>
        <w:t>Scheduling Painting:  Apply first coat to surfaces that have been cleaned, pretreated, or otherwise prepared for painting as soon as practicable after preparation and before subsequent surface deterioration.</w:t>
      </w:r>
    </w:p>
    <w:p w:rsidR="00BE5BDB" w:rsidRDefault="00BE5BDB">
      <w:pPr>
        <w:pStyle w:val="PR2"/>
        <w:spacing w:before="240"/>
      </w:pPr>
      <w:r>
        <w:t>Number of coats and film thickness required are same regardless of application method.  Do not apply succeeding coats until previous coat has cured as recommended by manufacturer.  If sanding is required to produce a smooth, even surface according to manufacturer's written instructions, sand between applications.</w:t>
      </w:r>
    </w:p>
    <w:p w:rsidR="00BE5BDB" w:rsidRDefault="00BE5BDB">
      <w:pPr>
        <w:pStyle w:val="PR2"/>
      </w:pPr>
      <w:r>
        <w:t xml:space="preserve">If undercoats, stains, or other conditions show through the final coat of paint, apply additional coats until paint film is of uniform finish, color, and appearance.  Give special </w:t>
      </w:r>
      <w:r>
        <w:lastRenderedPageBreak/>
        <w:t>attention to ensure that edges, corners, crevices, and exposed fasteners receive a dry film thickness equivalent to that of flat surfaces.</w:t>
      </w:r>
    </w:p>
    <w:p w:rsidR="00BE5BDB" w:rsidRDefault="00BE5BDB">
      <w:pPr>
        <w:pStyle w:val="PR2"/>
      </w:pPr>
      <w:r>
        <w:t>Allow enough time between successive coats to permit proper drying.  Do not recoat surfaces until paint has dried to where it feels firm, does not deform or feel sticky under moderate thumb pressure, and where applying another coat of paint does not cause the undercoat to loose adhesion.</w:t>
      </w:r>
    </w:p>
    <w:p w:rsidR="00BE5BDB" w:rsidRDefault="00BE5BDB">
      <w:pPr>
        <w:pStyle w:val="CMT"/>
      </w:pPr>
      <w:r>
        <w:t>Insert restrictions or limits on using spray equipment to suit Project.</w:t>
      </w:r>
    </w:p>
    <w:p w:rsidR="00BE5BDB" w:rsidRDefault="00BE5BDB">
      <w:pPr>
        <w:pStyle w:val="PR1"/>
      </w:pPr>
      <w:r>
        <w:t>Application Procedures:  Apply coatings by brush, roller, spray, or other applicators according to manufacturer's written instructions.</w:t>
      </w:r>
    </w:p>
    <w:p w:rsidR="00BE5BDB" w:rsidRDefault="00BE5BDB">
      <w:pPr>
        <w:pStyle w:val="PR2"/>
        <w:spacing w:before="240"/>
      </w:pPr>
      <w:r>
        <w:t>Brushes:  Use brushes best suited for material applied.  Use brush of appropriate size for surface or item being painted.</w:t>
      </w:r>
    </w:p>
    <w:p w:rsidR="00BE5BDB" w:rsidRDefault="00BE5BDB">
      <w:pPr>
        <w:pStyle w:val="PR2"/>
      </w:pPr>
      <w:r>
        <w:t>Rollers:  Use rollers made of carpet, velvet back, or high-pile sheep's wool as recommended by manufacturer for material and texture required.</w:t>
      </w:r>
    </w:p>
    <w:p w:rsidR="00BE5BDB" w:rsidRDefault="00BE5BDB">
      <w:pPr>
        <w:pStyle w:val="PR2"/>
      </w:pPr>
      <w:r>
        <w:t>Spray Equipment:  Use[</w:t>
      </w:r>
      <w:r>
        <w:rPr>
          <w:b/>
        </w:rPr>
        <w:t> airless</w:t>
      </w:r>
      <w:r>
        <w:t>] spray equipment with orifice size as recommended by manufacturer for material and texture required.</w:t>
      </w:r>
    </w:p>
    <w:p w:rsidR="00BE5BDB" w:rsidRDefault="00BE5BDB">
      <w:pPr>
        <w:pStyle w:val="PR1"/>
      </w:pPr>
      <w:r>
        <w:t>Minimum Coating Thickness:  Apply materials at not less than manufacturer's recommended spreading rate for surface to be coated.  Provide total dry film thickness of entire system as recommended by manufacturer.</w:t>
      </w:r>
    </w:p>
    <w:p w:rsidR="00BE5BDB" w:rsidRDefault="00BE5BDB">
      <w:pPr>
        <w:pStyle w:val="PR1"/>
      </w:pPr>
      <w:r>
        <w:t>Prime Coat:  Before applying finish coats, apply a prime coat, as recommended by manufacturer, to substrates required to be painted that have not been prime coated by others.  Recoat primed and sealed surfaces where evidence of suction spots or unsealed areas appears in the first coat.</w:t>
      </w:r>
    </w:p>
    <w:p w:rsidR="00BE5BDB" w:rsidRDefault="00BE5BDB">
      <w:pPr>
        <w:pStyle w:val="CMT"/>
      </w:pPr>
      <w:r>
        <w:t>Delete first paragraph below if no fire-inert topcoats.</w:t>
      </w:r>
    </w:p>
    <w:p w:rsidR="00BE5BDB" w:rsidRDefault="00BE5BDB">
      <w:pPr>
        <w:pStyle w:val="PR1"/>
      </w:pPr>
      <w:r>
        <w:t>Apply fire-inert topcoats where scheduled, using materials and application methods according to manufacturer's written instructions.</w:t>
      </w:r>
    </w:p>
    <w:p w:rsidR="00BE5BDB" w:rsidRDefault="00BE5BDB">
      <w:pPr>
        <w:pStyle w:val="PR1"/>
      </w:pPr>
      <w:r>
        <w:t>Clear Finishes:  Produce a smooth surface film of even sheen[</w:t>
      </w:r>
      <w:r>
        <w:rPr>
          <w:b/>
        </w:rPr>
        <w:t> using multiple coats</w:t>
      </w:r>
      <w:r>
        <w:t>].  Provide a finish free of laps, runs, cloudiness, color irregularity, brush marks, orange peel, nail holes, or other surface imperfections.</w:t>
      </w:r>
    </w:p>
    <w:p w:rsidR="00BE5BDB" w:rsidRDefault="00BE5BDB">
      <w:pPr>
        <w:pStyle w:val="PR1"/>
      </w:pPr>
      <w:r>
        <w:t>Completed Work:  Match approved samples for color, texture, and coverage.  Remove, refinish, or repaint work not complying with specified requirements.</w:t>
      </w:r>
    </w:p>
    <w:p w:rsidR="00E24355" w:rsidRPr="000A3E7A" w:rsidRDefault="00E24355" w:rsidP="00E24355">
      <w:pPr>
        <w:pStyle w:val="ART"/>
        <w:rPr>
          <w:rStyle w:val="Strong"/>
        </w:rPr>
      </w:pPr>
      <w:r w:rsidRPr="000A3E7A">
        <w:rPr>
          <w:rStyle w:val="Strong"/>
        </w:rPr>
        <w:t>FIELD QUALITY CONTROL</w:t>
      </w:r>
    </w:p>
    <w:p w:rsidR="00E24355" w:rsidRDefault="00E24355" w:rsidP="00E24355">
      <w:pPr>
        <w:pStyle w:val="CMT"/>
      </w:pPr>
      <w:r>
        <w:t>Delete first paragraph if project size does not warrant an independent inspection agency.</w:t>
      </w:r>
    </w:p>
    <w:p w:rsidR="00E24355" w:rsidRDefault="00E24355" w:rsidP="00E24355">
      <w:pPr>
        <w:pStyle w:val="PR1"/>
      </w:pPr>
      <w:r>
        <w:t xml:space="preserve">Inspecting Agency:  </w:t>
      </w:r>
      <w:r w:rsidRPr="00062552">
        <w:t>Engage</w:t>
      </w:r>
      <w:r>
        <w:t xml:space="preserve"> a qualified independent inspecting agency to inspect intumescent painted surfaces and prepare inspection reports.</w:t>
      </w:r>
    </w:p>
    <w:p w:rsidR="00E24355" w:rsidRDefault="00E24355" w:rsidP="00E24355">
      <w:pPr>
        <w:pStyle w:val="PR1"/>
      </w:pPr>
      <w:r>
        <w:t xml:space="preserve">Testing Services:  Inspecting of completed installations of intumescent painted surfaces shall take place in successive stages as application of intumescent paint proceeds.  Do not proceed with application of intumescent paint for the next area until </w:t>
      </w:r>
      <w:r w:rsidRPr="00062552">
        <w:rPr>
          <w:b/>
        </w:rPr>
        <w:t>[inspecting agency] [NIH Division of the Fire Marshal]</w:t>
      </w:r>
      <w:r>
        <w:t xml:space="preserve"> determines completed work shows compliance with requirements.</w:t>
      </w:r>
    </w:p>
    <w:p w:rsidR="00E24355" w:rsidRDefault="00E24355" w:rsidP="00E24355">
      <w:pPr>
        <w:pStyle w:val="PR2"/>
        <w:spacing w:before="240"/>
      </w:pPr>
      <w:r>
        <w:t>Inspecting agency shall state in each report whether inspected intumescent painted surfaces comply with or deviate from requirements.</w:t>
      </w:r>
    </w:p>
    <w:p w:rsidR="00E24355" w:rsidRDefault="00E24355" w:rsidP="00E24355">
      <w:pPr>
        <w:pStyle w:val="PR1"/>
      </w:pPr>
      <w:r>
        <w:lastRenderedPageBreak/>
        <w:t>Remove and replace intumescent paint where inspections indicate that it does not comply with specified requirements.</w:t>
      </w:r>
    </w:p>
    <w:p w:rsidR="00E24355" w:rsidRDefault="00E24355" w:rsidP="00E24355">
      <w:pPr>
        <w:pStyle w:val="PR1"/>
      </w:pPr>
      <w:r>
        <w:t>Additional inspecting, at Contractor's expense, will be performed to determine compliance of replaced or additional work with specified requirements.</w:t>
      </w:r>
    </w:p>
    <w:p w:rsidR="00E24355" w:rsidRDefault="00E24355" w:rsidP="00E24355">
      <w:pPr>
        <w:pStyle w:val="PR1"/>
      </w:pPr>
      <w:r>
        <w:t>Proceed with enclosing intumescent painted surfaces with other construction only after inspection and approval by the NIH Division of the Fire Marshal. Where intumescent painted surfaces will be left exposed, it can be inspected as part of the final acceptance (pre-occupancy) inspection performed by the NIH Division of the Fire Marshal.</w:t>
      </w:r>
    </w:p>
    <w:p w:rsidR="00BE5BDB" w:rsidRPr="000A3E7A" w:rsidRDefault="00BE5BDB">
      <w:pPr>
        <w:pStyle w:val="ART"/>
        <w:rPr>
          <w:rStyle w:val="Strong"/>
        </w:rPr>
      </w:pPr>
      <w:bookmarkStart w:id="0" w:name="_GoBack"/>
      <w:r w:rsidRPr="000A3E7A">
        <w:rPr>
          <w:rStyle w:val="Strong"/>
        </w:rPr>
        <w:t>CLEANING AND PROTECTION</w:t>
      </w:r>
    </w:p>
    <w:bookmarkEnd w:id="0"/>
    <w:p w:rsidR="00BE5BDB" w:rsidRDefault="00BE5BDB">
      <w:pPr>
        <w:pStyle w:val="PR1"/>
      </w:pPr>
      <w:r>
        <w:t>Cleanup:  At the end of each workday, remove rubbish, empty cans, rags, and other discarded materials from Project site.</w:t>
      </w:r>
    </w:p>
    <w:p w:rsidR="00BE5BDB" w:rsidRDefault="00BE5BDB">
      <w:pPr>
        <w:pStyle w:val="CMT"/>
      </w:pPr>
      <w:r>
        <w:t>Delete subparagraph below if final cleaning is not done by painter.</w:t>
      </w:r>
    </w:p>
    <w:p w:rsidR="00BE5BDB" w:rsidRDefault="00BE5BDB">
      <w:pPr>
        <w:pStyle w:val="PR2"/>
        <w:spacing w:before="240"/>
      </w:pPr>
      <w:r>
        <w:t>After completing painting, clean glass and paint-spattered surfaces.  Remove spattered paint by proper methods.  Be careful not to scratch or otherwise damage adjacent finished surfaces.</w:t>
      </w:r>
    </w:p>
    <w:p w:rsidR="00BE5BDB" w:rsidRDefault="00BE5BDB">
      <w:pPr>
        <w:pStyle w:val="PR1"/>
      </w:pPr>
      <w:r>
        <w:t>Provide "Wet Paint" signs to protect newly painted finishes.  After completing painting, remove temporary protective wrappings provided by others to protect their work.</w:t>
      </w:r>
    </w:p>
    <w:p w:rsidR="00BE5BDB" w:rsidRDefault="00BE5BDB">
      <w:pPr>
        <w:pStyle w:val="PR2"/>
        <w:spacing w:before="240"/>
      </w:pPr>
      <w:r>
        <w:t>After work of other trades is completed, touch up and restore damaged or defaced surfaces.  Comply with PDCA P1.</w:t>
      </w:r>
    </w:p>
    <w:p w:rsidR="00BE5BDB" w:rsidRDefault="00BE5BDB">
      <w:pPr>
        <w:pStyle w:val="EOS"/>
      </w:pPr>
      <w:r>
        <w:t>END OF SECTION 099646</w:t>
      </w:r>
    </w:p>
    <w:sectPr w:rsidR="00BE5BDB">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40" w:rsidRDefault="00194740">
      <w:r>
        <w:separator/>
      </w:r>
    </w:p>
  </w:endnote>
  <w:endnote w:type="continuationSeparator" w:id="0">
    <w:p w:rsidR="00194740" w:rsidRDefault="001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194740">
      <w:tblPrEx>
        <w:tblCellMar>
          <w:top w:w="0" w:type="dxa"/>
          <w:bottom w:w="0" w:type="dxa"/>
        </w:tblCellMar>
      </w:tblPrEx>
      <w:tc>
        <w:tcPr>
          <w:tcW w:w="7632" w:type="dxa"/>
        </w:tcPr>
        <w:p w:rsidR="00194740" w:rsidRDefault="00194740">
          <w:pPr>
            <w:pStyle w:val="FTR"/>
          </w:pPr>
          <w:r>
            <w:rPr>
              <w:rStyle w:val="NAM"/>
            </w:rPr>
            <w:t>INTUMESCENT PAINTING</w:t>
          </w:r>
        </w:p>
      </w:tc>
      <w:tc>
        <w:tcPr>
          <w:tcW w:w="1728" w:type="dxa"/>
        </w:tcPr>
        <w:p w:rsidR="00194740" w:rsidRDefault="00194740">
          <w:pPr>
            <w:pStyle w:val="RJUST"/>
          </w:pPr>
          <w:r>
            <w:rPr>
              <w:rStyle w:val="NUM"/>
            </w:rPr>
            <w:t>099646</w:t>
          </w:r>
          <w:r>
            <w:t xml:space="preserve"> - </w:t>
          </w:r>
          <w:r>
            <w:fldChar w:fldCharType="begin"/>
          </w:r>
          <w:r>
            <w:instrText xml:space="preserve"> PAGE </w:instrText>
          </w:r>
          <w:r>
            <w:fldChar w:fldCharType="separate"/>
          </w:r>
          <w:r w:rsidR="000A3E7A">
            <w:rPr>
              <w:noProof/>
            </w:rPr>
            <w:t>11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40" w:rsidRDefault="00194740">
      <w:r>
        <w:separator/>
      </w:r>
    </w:p>
  </w:footnote>
  <w:footnote w:type="continuationSeparator" w:id="0">
    <w:p w:rsidR="00194740" w:rsidRDefault="0019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40" w:rsidRPr="00194740" w:rsidRDefault="00194740">
    <w:pPr>
      <w:pStyle w:val="HDR"/>
      <w:rPr>
        <w:rStyle w:val="Strong"/>
      </w:rPr>
    </w:pPr>
    <w:r w:rsidRPr="00194740">
      <w:rPr>
        <w:rStyle w:val="Strong"/>
      </w:rPr>
      <w:t>Copyright 2002 and 2005 AIA</w:t>
    </w:r>
    <w:r w:rsidRPr="00194740">
      <w:rPr>
        <w:rStyle w:val="Strong"/>
      </w:rPr>
      <w:tab/>
      <w:t>MASTERSPEC Full Length</w:t>
    </w:r>
    <w:r w:rsidRPr="00194740">
      <w:rPr>
        <w:rStyle w:val="Strong"/>
      </w:rPr>
      <w:tab/>
      <w:t>08/02 (R 05/05)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DB"/>
    <w:rsid w:val="000A3E7A"/>
    <w:rsid w:val="00194740"/>
    <w:rsid w:val="001B1F30"/>
    <w:rsid w:val="001F4DD6"/>
    <w:rsid w:val="00457FD0"/>
    <w:rsid w:val="0055416B"/>
    <w:rsid w:val="00590CF8"/>
    <w:rsid w:val="009841A2"/>
    <w:rsid w:val="00AE0707"/>
    <w:rsid w:val="00BE5BDB"/>
    <w:rsid w:val="00E2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6C52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rsid w:val="00194740"/>
    <w:pPr>
      <w:tabs>
        <w:tab w:val="center" w:pos="4680"/>
        <w:tab w:val="right" w:pos="9360"/>
      </w:tabs>
    </w:pPr>
  </w:style>
  <w:style w:type="character" w:customStyle="1" w:styleId="HeaderChar">
    <w:name w:val="Header Char"/>
    <w:basedOn w:val="DefaultParagraphFont"/>
    <w:link w:val="Header"/>
    <w:rsid w:val="00194740"/>
    <w:rPr>
      <w:sz w:val="22"/>
    </w:rPr>
  </w:style>
  <w:style w:type="paragraph" w:styleId="Footer">
    <w:name w:val="footer"/>
    <w:basedOn w:val="Normal"/>
    <w:link w:val="FooterChar"/>
    <w:rsid w:val="00194740"/>
    <w:pPr>
      <w:tabs>
        <w:tab w:val="center" w:pos="4680"/>
        <w:tab w:val="right" w:pos="9360"/>
      </w:tabs>
    </w:pPr>
  </w:style>
  <w:style w:type="character" w:customStyle="1" w:styleId="FooterChar">
    <w:name w:val="Footer Char"/>
    <w:basedOn w:val="DefaultParagraphFont"/>
    <w:link w:val="Footer"/>
    <w:rsid w:val="00194740"/>
    <w:rPr>
      <w:sz w:val="22"/>
    </w:rPr>
  </w:style>
  <w:style w:type="character" w:styleId="Strong">
    <w:name w:val="Strong"/>
    <w:basedOn w:val="DefaultParagraphFont"/>
    <w:qFormat/>
    <w:rsid w:val="001947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rsid w:val="00194740"/>
    <w:pPr>
      <w:tabs>
        <w:tab w:val="center" w:pos="4680"/>
        <w:tab w:val="right" w:pos="9360"/>
      </w:tabs>
    </w:pPr>
  </w:style>
  <w:style w:type="character" w:customStyle="1" w:styleId="HeaderChar">
    <w:name w:val="Header Char"/>
    <w:basedOn w:val="DefaultParagraphFont"/>
    <w:link w:val="Header"/>
    <w:rsid w:val="00194740"/>
    <w:rPr>
      <w:sz w:val="22"/>
    </w:rPr>
  </w:style>
  <w:style w:type="paragraph" w:styleId="Footer">
    <w:name w:val="footer"/>
    <w:basedOn w:val="Normal"/>
    <w:link w:val="FooterChar"/>
    <w:rsid w:val="00194740"/>
    <w:pPr>
      <w:tabs>
        <w:tab w:val="center" w:pos="4680"/>
        <w:tab w:val="right" w:pos="9360"/>
      </w:tabs>
    </w:pPr>
  </w:style>
  <w:style w:type="character" w:customStyle="1" w:styleId="FooterChar">
    <w:name w:val="Footer Char"/>
    <w:basedOn w:val="DefaultParagraphFont"/>
    <w:link w:val="Footer"/>
    <w:rsid w:val="00194740"/>
    <w:rPr>
      <w:sz w:val="22"/>
    </w:rPr>
  </w:style>
  <w:style w:type="character" w:styleId="Strong">
    <w:name w:val="Strong"/>
    <w:basedOn w:val="DefaultParagraphFont"/>
    <w:qFormat/>
    <w:rsid w:val="00194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BC6B24551DC4DA8DF2AF630149010" ma:contentTypeVersion="2" ma:contentTypeDescription="Create a new document." ma:contentTypeScope="" ma:versionID="fe974d9e611b449a61d0a27c4cf70dfb">
  <xsd:schema xmlns:xsd="http://www.w3.org/2001/XMLSchema" xmlns:xs="http://www.w3.org/2001/XMLSchema" xmlns:p="http://schemas.microsoft.com/office/2006/metadata/properties" xmlns:ns1="http://schemas.microsoft.com/sharepoint/v3" targetNamespace="http://schemas.microsoft.com/office/2006/metadata/properties" ma:root="true" ma:fieldsID="bd7deffbc0ede3724339e651d2699c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BC6B36-F1B5-403E-B266-B4410A53E916}"/>
</file>

<file path=customXml/itemProps2.xml><?xml version="1.0" encoding="utf-8"?>
<ds:datastoreItem xmlns:ds="http://schemas.openxmlformats.org/officeDocument/2006/customXml" ds:itemID="{0D35C855-9557-4DDF-A561-632E6B7518B2}"/>
</file>

<file path=customXml/itemProps3.xml><?xml version="1.0" encoding="utf-8"?>
<ds:datastoreItem xmlns:ds="http://schemas.openxmlformats.org/officeDocument/2006/customXml" ds:itemID="{6101CF30-7AAB-43D5-B003-67F669E3BCA8}"/>
</file>

<file path=docProps/app.xml><?xml version="1.0" encoding="utf-8"?>
<Properties xmlns="http://schemas.openxmlformats.org/officeDocument/2006/extended-properties" xmlns:vt="http://schemas.openxmlformats.org/officeDocument/2006/docPropsVTypes">
  <Template>Normal.dotm</Template>
  <TotalTime>8</TotalTime>
  <Pages>11</Pages>
  <Words>3479</Words>
  <Characters>26799</Characters>
  <Application>Microsoft Office Word</Application>
  <DocSecurity>0</DocSecurity>
  <Lines>223</Lines>
  <Paragraphs>60</Paragraphs>
  <ScaleCrop>false</ScaleCrop>
  <HeadingPairs>
    <vt:vector size="2" baseType="variant">
      <vt:variant>
        <vt:lpstr>Title</vt:lpstr>
      </vt:variant>
      <vt:variant>
        <vt:i4>1</vt:i4>
      </vt:variant>
    </vt:vector>
  </HeadingPairs>
  <TitlesOfParts>
    <vt:vector size="1" baseType="lpstr">
      <vt:lpstr>SECTION 099646 - INTUMESCENT PAINTING</vt:lpstr>
    </vt:vector>
  </TitlesOfParts>
  <Company>NIH/ORS</Company>
  <LinksUpToDate>false</LinksUpToDate>
  <CharactersWithSpaces>30218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099646 – Intumescent Painting</dc:title>
  <dc:subject>INTUMESCENT PAINTING</dc:subject>
  <dc:creator>ARCOM, Inc.</dc:creator>
  <cp:keywords>BAS-12345-MS80</cp:keywords>
  <cp:lastModifiedBy>ORS Network User</cp:lastModifiedBy>
  <cp:revision>3</cp:revision>
  <cp:lastPrinted>2012-05-04T14:01:00Z</cp:lastPrinted>
  <dcterms:created xsi:type="dcterms:W3CDTF">2012-05-04T13:54:00Z</dcterms:created>
  <dcterms:modified xsi:type="dcterms:W3CDTF">2012-05-04T14:02:00Z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0x010100FB2BC6B24551DC4DA8DF2AF630149010</vt:lpwstr>
  </property>
  <property fmtid="{D5CDD505-2E9C-101B-9397-08002B2CF9AE}" pid="3" name="TemplateUrl">
    <vt:lpwstr/>
  </property>
  <property fmtid="{D5CDD505-2E9C-101B-9397-08002B2CF9AE}" pid="4" name="Order">
    <vt:r8>16100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