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B5FF" w14:textId="77777777" w:rsidR="005765B7" w:rsidRDefault="005765B7"/>
    <w:p w14:paraId="11D2E3B6" w14:textId="77777777" w:rsidR="00946D77" w:rsidRDefault="00946D77"/>
    <w:p w14:paraId="74E70798" w14:textId="77777777" w:rsidR="00946D77" w:rsidRDefault="00946D77"/>
    <w:p w14:paraId="58B750AC" w14:textId="2D28B6E7" w:rsidR="00946D77" w:rsidRPr="00E656E7" w:rsidRDefault="00946D77">
      <w:pPr>
        <w:rPr>
          <w:b/>
          <w:bCs/>
          <w:sz w:val="28"/>
          <w:szCs w:val="28"/>
          <w:u w:val="single"/>
        </w:rPr>
      </w:pPr>
      <w:r w:rsidRPr="00E656E7">
        <w:rPr>
          <w:b/>
          <w:bCs/>
          <w:sz w:val="28"/>
          <w:szCs w:val="28"/>
          <w:u w:val="single"/>
        </w:rPr>
        <w:t>Three m</w:t>
      </w:r>
      <w:r w:rsidRPr="00E656E7">
        <w:rPr>
          <w:b/>
          <w:bCs/>
          <w:sz w:val="28"/>
          <w:szCs w:val="28"/>
          <w:u w:val="single"/>
        </w:rPr>
        <w:t>ethods of obtaining a badge to access the NIH Bethesda Campus</w:t>
      </w:r>
    </w:p>
    <w:p w14:paraId="5A0F32F1" w14:textId="1FA56BE8" w:rsidR="00946D77" w:rsidRPr="00946D77" w:rsidRDefault="00946D77" w:rsidP="00946D77">
      <w:pPr>
        <w:rPr>
          <w:sz w:val="28"/>
          <w:szCs w:val="28"/>
        </w:rPr>
      </w:pPr>
      <w:r w:rsidRPr="00946D77">
        <w:rPr>
          <w:sz w:val="28"/>
          <w:szCs w:val="28"/>
        </w:rPr>
        <w:t>- The Contractor shall provide information about all Contractor and subcontractor personnel and others who require continuing access to the site before access is required and when access ceases.</w:t>
      </w:r>
    </w:p>
    <w:p w14:paraId="7B931491" w14:textId="264AD3A0" w:rsidR="00946D77" w:rsidRPr="00946D77" w:rsidRDefault="00946D77" w:rsidP="00946D77">
      <w:pPr>
        <w:rPr>
          <w:sz w:val="28"/>
          <w:szCs w:val="28"/>
        </w:rPr>
      </w:pPr>
      <w:r w:rsidRPr="00946D77">
        <w:rPr>
          <w:sz w:val="28"/>
          <w:szCs w:val="28"/>
        </w:rPr>
        <w:t>- No interviews of prospective Contractor employees shall be conducted within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15CB6228" w14:textId="5488FC7B" w:rsidR="00946D77" w:rsidRDefault="00946D77" w:rsidP="00946D77">
      <w:pPr>
        <w:rPr>
          <w:sz w:val="28"/>
          <w:szCs w:val="28"/>
        </w:rPr>
      </w:pPr>
      <w:r w:rsidRPr="00946D77">
        <w:rPr>
          <w:sz w:val="28"/>
          <w:szCs w:val="28"/>
        </w:rPr>
        <w:t>- Listings of Contractors requiring a physical presence on the NIH Campus will be maintained by the contractor. There are three methods of obtaining badges to access the NIH Bethesda Campus.</w:t>
      </w:r>
    </w:p>
    <w:p w14:paraId="568A4FC8" w14:textId="37924CFD" w:rsidR="00946D77" w:rsidRPr="00946D77" w:rsidRDefault="00946D77" w:rsidP="00946D77">
      <w:pPr>
        <w:rPr>
          <w:b/>
          <w:bCs/>
          <w:sz w:val="28"/>
          <w:szCs w:val="28"/>
        </w:rPr>
      </w:pPr>
      <w:r w:rsidRPr="00946D77">
        <w:rPr>
          <w:b/>
          <w:bCs/>
          <w:sz w:val="28"/>
          <w:szCs w:val="28"/>
        </w:rPr>
        <w:t>Method 1 – Daily Visitor Badge</w:t>
      </w:r>
    </w:p>
    <w:p w14:paraId="360B7E1B" w14:textId="77777777" w:rsidR="00946D77" w:rsidRPr="00946D77" w:rsidRDefault="00946D77" w:rsidP="00946D77">
      <w:pPr>
        <w:pStyle w:val="NormalWeb"/>
        <w:spacing w:before="200" w:beforeAutospacing="0" w:after="0" w:afterAutospacing="0" w:line="216" w:lineRule="auto"/>
        <w:rPr>
          <w:rFonts w:asciiTheme="minorHAnsi" w:hAnsiTheme="minorHAnsi" w:cstheme="minorHAnsi"/>
          <w:sz w:val="28"/>
          <w:szCs w:val="28"/>
        </w:rPr>
      </w:pPr>
      <w:r w:rsidRPr="00946D77">
        <w:rPr>
          <w:rFonts w:asciiTheme="minorHAnsi" w:hAnsiTheme="minorHAnsi" w:cstheme="minorHAnsi"/>
          <w:color w:val="000000"/>
          <w:kern w:val="24"/>
          <w:sz w:val="28"/>
          <w:szCs w:val="28"/>
        </w:rPr>
        <w:t xml:space="preserve">Method 1 is a </w:t>
      </w:r>
      <w:r w:rsidRPr="00E656E7">
        <w:rPr>
          <w:rFonts w:asciiTheme="minorHAnsi" w:hAnsiTheme="minorHAnsi" w:cstheme="minorHAnsi"/>
          <w:b/>
          <w:bCs/>
          <w:color w:val="000000"/>
          <w:kern w:val="24"/>
          <w:sz w:val="28"/>
          <w:szCs w:val="28"/>
        </w:rPr>
        <w:t>Daily Visitor Badge</w:t>
      </w:r>
      <w:r w:rsidRPr="00946D77">
        <w:rPr>
          <w:rFonts w:asciiTheme="minorHAnsi" w:hAnsiTheme="minorHAnsi" w:cstheme="minorHAnsi"/>
          <w:color w:val="000000"/>
          <w:kern w:val="24"/>
          <w:sz w:val="28"/>
          <w:szCs w:val="28"/>
        </w:rPr>
        <w:t xml:space="preserve"> obtained through the NIH Gateway Center. Specific details can be found at  </w:t>
      </w:r>
      <w:hyperlink r:id="rId5" w:history="1">
        <w:r w:rsidRPr="00946D77">
          <w:rPr>
            <w:rStyle w:val="Hyperlink"/>
            <w:rFonts w:asciiTheme="minorHAnsi" w:hAnsiTheme="minorHAnsi" w:cstheme="minorHAnsi"/>
            <w:i/>
            <w:iCs/>
            <w:color w:val="auto"/>
            <w:kern w:val="24"/>
            <w:sz w:val="28"/>
            <w:szCs w:val="28"/>
          </w:rPr>
          <w:t>Visitor Information | National Institutes of Health (NIH)</w:t>
        </w:r>
      </w:hyperlink>
      <w:r w:rsidRPr="00946D77">
        <w:rPr>
          <w:rFonts w:asciiTheme="minorHAnsi" w:hAnsiTheme="minorHAnsi" w:cstheme="minorHAnsi"/>
          <w:kern w:val="24"/>
          <w:sz w:val="28"/>
          <w:szCs w:val="28"/>
        </w:rPr>
        <w:t xml:space="preserve">. </w:t>
      </w:r>
    </w:p>
    <w:p w14:paraId="23BF7046" w14:textId="77777777" w:rsidR="00E656E7" w:rsidRDefault="00E656E7">
      <w:pPr>
        <w:rPr>
          <w:b/>
          <w:bCs/>
          <w:sz w:val="28"/>
          <w:szCs w:val="28"/>
        </w:rPr>
      </w:pPr>
    </w:p>
    <w:p w14:paraId="1892E2CF" w14:textId="701654C8" w:rsidR="00946D77" w:rsidRDefault="00E656E7">
      <w:pPr>
        <w:rPr>
          <w:b/>
          <w:bCs/>
          <w:sz w:val="28"/>
          <w:szCs w:val="28"/>
        </w:rPr>
      </w:pPr>
      <w:r w:rsidRPr="00E656E7">
        <w:rPr>
          <w:b/>
          <w:bCs/>
          <w:sz w:val="28"/>
          <w:szCs w:val="28"/>
        </w:rPr>
        <w:t>Method 2 – Extended Visitor Badge</w:t>
      </w:r>
    </w:p>
    <w:p w14:paraId="1BBA5B63" w14:textId="2A1836FC" w:rsidR="00E656E7" w:rsidRDefault="00E656E7">
      <w:pPr>
        <w:rPr>
          <w:sz w:val="28"/>
          <w:szCs w:val="28"/>
        </w:rPr>
      </w:pPr>
      <w:r w:rsidRPr="00E656E7">
        <w:rPr>
          <w:sz w:val="28"/>
          <w:szCs w:val="28"/>
        </w:rPr>
        <w:t xml:space="preserve">Method 2 is a one-time only </w:t>
      </w:r>
      <w:r w:rsidRPr="00E656E7">
        <w:rPr>
          <w:b/>
          <w:bCs/>
          <w:sz w:val="28"/>
          <w:szCs w:val="28"/>
        </w:rPr>
        <w:t>Extended Visitor Badge (EVB)</w:t>
      </w:r>
      <w:r w:rsidRPr="00E656E7">
        <w:rPr>
          <w:sz w:val="28"/>
          <w:szCs w:val="28"/>
        </w:rPr>
        <w:t xml:space="preserve"> for up to 6 months. If an EVB is issued it cannot be renewed. Consult with the COR/PO for specific details on applicability and process for application.</w:t>
      </w:r>
    </w:p>
    <w:p w14:paraId="77AD3BE8" w14:textId="77777777" w:rsidR="00E656E7" w:rsidRDefault="00E656E7" w:rsidP="00E656E7">
      <w:pPr>
        <w:rPr>
          <w:b/>
          <w:bCs/>
          <w:sz w:val="28"/>
          <w:szCs w:val="28"/>
        </w:rPr>
      </w:pPr>
      <w:r w:rsidRPr="00E656E7">
        <w:rPr>
          <w:b/>
          <w:bCs/>
          <w:sz w:val="28"/>
          <w:szCs w:val="28"/>
        </w:rPr>
        <w:t>Method 3 – PIV Badge</w:t>
      </w:r>
    </w:p>
    <w:p w14:paraId="7B3D0C85" w14:textId="77777777" w:rsidR="00E656E7" w:rsidRDefault="00E656E7" w:rsidP="00E656E7">
      <w:pPr>
        <w:rPr>
          <w:rFonts w:cstheme="minorHAnsi"/>
          <w:color w:val="000000"/>
          <w:kern w:val="24"/>
          <w:sz w:val="28"/>
          <w:szCs w:val="28"/>
        </w:rPr>
      </w:pPr>
      <w:r w:rsidRPr="00E656E7">
        <w:rPr>
          <w:rFonts w:cstheme="minorHAnsi"/>
          <w:color w:val="000000"/>
          <w:kern w:val="24"/>
          <w:sz w:val="28"/>
          <w:szCs w:val="28"/>
        </w:rPr>
        <w:t xml:space="preserve">Method 3 is a </w:t>
      </w:r>
      <w:r w:rsidRPr="00E656E7">
        <w:rPr>
          <w:rFonts w:cstheme="minorHAnsi"/>
          <w:b/>
          <w:bCs/>
          <w:color w:val="000000"/>
          <w:kern w:val="24"/>
          <w:sz w:val="28"/>
          <w:szCs w:val="28"/>
        </w:rPr>
        <w:t>Personal Identity Verification (PIV) Badge</w:t>
      </w:r>
      <w:r w:rsidRPr="00E656E7">
        <w:rPr>
          <w:rFonts w:cstheme="minorHAnsi"/>
          <w:color w:val="000000"/>
          <w:kern w:val="24"/>
          <w:sz w:val="28"/>
          <w:szCs w:val="28"/>
        </w:rPr>
        <w:t xml:space="preserve"> for Contractor personnel that are anticipated to be on Campus more than 6 months.  All PIV requests must be pre-approved by the Contractor and the Project Officer (PO). The requesting Contractor will submit for a PIV badge using the current HHS ID Badge Request HHS-745 and addendum forms. Submissions </w:t>
      </w:r>
      <w:r w:rsidRPr="00E656E7">
        <w:rPr>
          <w:rFonts w:cstheme="minorHAnsi"/>
          <w:color w:val="000000"/>
          <w:kern w:val="24"/>
          <w:sz w:val="28"/>
          <w:szCs w:val="28"/>
        </w:rPr>
        <w:lastRenderedPageBreak/>
        <w:t xml:space="preserve">will follow the process outlined by the Division of Personnel Security and access Control (DPSAC). See </w:t>
      </w:r>
      <w:hyperlink r:id="rId6" w:history="1">
        <w:r w:rsidRPr="00E656E7">
          <w:rPr>
            <w:rStyle w:val="Hyperlink"/>
            <w:rFonts w:cstheme="minorHAnsi"/>
            <w:i/>
            <w:iCs/>
            <w:kern w:val="24"/>
            <w:sz w:val="28"/>
            <w:szCs w:val="28"/>
          </w:rPr>
          <w:t>DPSAC Process Overview (nih.gov)</w:t>
        </w:r>
      </w:hyperlink>
      <w:r w:rsidRPr="00E656E7">
        <w:rPr>
          <w:rFonts w:cstheme="minorHAnsi"/>
          <w:color w:val="000000"/>
          <w:kern w:val="24"/>
          <w:sz w:val="28"/>
          <w:szCs w:val="28"/>
        </w:rPr>
        <w:t>. The submission of all badge applications must be encrypted safeguarding Personally Identifiable Information (PII). The NIH App, Secure Email File Transfer (SEFT), assists with transference of documents securely (</w:t>
      </w:r>
      <w:hyperlink r:id="rId7" w:history="1">
        <w:r w:rsidRPr="00E656E7">
          <w:rPr>
            <w:rStyle w:val="Hyperlink"/>
            <w:rFonts w:cstheme="minorHAnsi"/>
            <w:kern w:val="24"/>
            <w:sz w:val="28"/>
            <w:szCs w:val="28"/>
          </w:rPr>
          <w:t>https://secureemail.nih.gov/bds/Login.do</w:t>
        </w:r>
      </w:hyperlink>
      <w:r w:rsidRPr="00E656E7">
        <w:rPr>
          <w:rFonts w:cstheme="minorHAnsi"/>
          <w:color w:val="000000"/>
          <w:kern w:val="24"/>
          <w:sz w:val="28"/>
          <w:szCs w:val="28"/>
        </w:rPr>
        <w:t xml:space="preserve">). </w:t>
      </w:r>
    </w:p>
    <w:p w14:paraId="0DAE653A" w14:textId="3CFE1A20" w:rsidR="00E656E7" w:rsidRPr="00E656E7" w:rsidRDefault="00E656E7" w:rsidP="00E656E7">
      <w:pPr>
        <w:rPr>
          <w:rFonts w:cstheme="minorHAnsi"/>
          <w:b/>
          <w:bCs/>
          <w:color w:val="000000"/>
          <w:kern w:val="24"/>
          <w:sz w:val="28"/>
          <w:szCs w:val="28"/>
        </w:rPr>
      </w:pPr>
      <w:r w:rsidRPr="00E656E7">
        <w:rPr>
          <w:rFonts w:cstheme="minorHAnsi"/>
          <w:b/>
          <w:bCs/>
          <w:color w:val="000000"/>
          <w:kern w:val="24"/>
          <w:sz w:val="28"/>
          <w:szCs w:val="28"/>
        </w:rPr>
        <w:t>Contractors are strongly encouraged to designate a Badging coordinator that can work with the PO’s badging coordinator to move requests through the process.</w:t>
      </w:r>
    </w:p>
    <w:p w14:paraId="53B8E49A" w14:textId="77777777" w:rsidR="00E656E7" w:rsidRPr="00E656E7" w:rsidRDefault="00E656E7">
      <w:pPr>
        <w:rPr>
          <w:sz w:val="28"/>
          <w:szCs w:val="28"/>
        </w:rPr>
      </w:pPr>
    </w:p>
    <w:sectPr w:rsidR="00E656E7" w:rsidRPr="00E656E7" w:rsidSect="00946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2B34"/>
    <w:multiLevelType w:val="hybridMultilevel"/>
    <w:tmpl w:val="36E68C72"/>
    <w:lvl w:ilvl="0" w:tplc="8522D55A">
      <w:start w:val="1"/>
      <w:numFmt w:val="bullet"/>
      <w:lvlText w:val="•"/>
      <w:lvlJc w:val="left"/>
      <w:pPr>
        <w:tabs>
          <w:tab w:val="num" w:pos="720"/>
        </w:tabs>
        <w:ind w:left="720" w:hanging="360"/>
      </w:pPr>
      <w:rPr>
        <w:rFonts w:ascii="Arial" w:hAnsi="Arial" w:hint="default"/>
      </w:rPr>
    </w:lvl>
    <w:lvl w:ilvl="1" w:tplc="9DC2C414" w:tentative="1">
      <w:start w:val="1"/>
      <w:numFmt w:val="bullet"/>
      <w:lvlText w:val="•"/>
      <w:lvlJc w:val="left"/>
      <w:pPr>
        <w:tabs>
          <w:tab w:val="num" w:pos="1440"/>
        </w:tabs>
        <w:ind w:left="1440" w:hanging="360"/>
      </w:pPr>
      <w:rPr>
        <w:rFonts w:ascii="Arial" w:hAnsi="Arial" w:hint="default"/>
      </w:rPr>
    </w:lvl>
    <w:lvl w:ilvl="2" w:tplc="D78231CE" w:tentative="1">
      <w:start w:val="1"/>
      <w:numFmt w:val="bullet"/>
      <w:lvlText w:val="•"/>
      <w:lvlJc w:val="left"/>
      <w:pPr>
        <w:tabs>
          <w:tab w:val="num" w:pos="2160"/>
        </w:tabs>
        <w:ind w:left="2160" w:hanging="360"/>
      </w:pPr>
      <w:rPr>
        <w:rFonts w:ascii="Arial" w:hAnsi="Arial" w:hint="default"/>
      </w:rPr>
    </w:lvl>
    <w:lvl w:ilvl="3" w:tplc="1B54C186" w:tentative="1">
      <w:start w:val="1"/>
      <w:numFmt w:val="bullet"/>
      <w:lvlText w:val="•"/>
      <w:lvlJc w:val="left"/>
      <w:pPr>
        <w:tabs>
          <w:tab w:val="num" w:pos="2880"/>
        </w:tabs>
        <w:ind w:left="2880" w:hanging="360"/>
      </w:pPr>
      <w:rPr>
        <w:rFonts w:ascii="Arial" w:hAnsi="Arial" w:hint="default"/>
      </w:rPr>
    </w:lvl>
    <w:lvl w:ilvl="4" w:tplc="E2682EC4" w:tentative="1">
      <w:start w:val="1"/>
      <w:numFmt w:val="bullet"/>
      <w:lvlText w:val="•"/>
      <w:lvlJc w:val="left"/>
      <w:pPr>
        <w:tabs>
          <w:tab w:val="num" w:pos="3600"/>
        </w:tabs>
        <w:ind w:left="3600" w:hanging="360"/>
      </w:pPr>
      <w:rPr>
        <w:rFonts w:ascii="Arial" w:hAnsi="Arial" w:hint="default"/>
      </w:rPr>
    </w:lvl>
    <w:lvl w:ilvl="5" w:tplc="71B83AB2" w:tentative="1">
      <w:start w:val="1"/>
      <w:numFmt w:val="bullet"/>
      <w:lvlText w:val="•"/>
      <w:lvlJc w:val="left"/>
      <w:pPr>
        <w:tabs>
          <w:tab w:val="num" w:pos="4320"/>
        </w:tabs>
        <w:ind w:left="4320" w:hanging="360"/>
      </w:pPr>
      <w:rPr>
        <w:rFonts w:ascii="Arial" w:hAnsi="Arial" w:hint="default"/>
      </w:rPr>
    </w:lvl>
    <w:lvl w:ilvl="6" w:tplc="4B42746E" w:tentative="1">
      <w:start w:val="1"/>
      <w:numFmt w:val="bullet"/>
      <w:lvlText w:val="•"/>
      <w:lvlJc w:val="left"/>
      <w:pPr>
        <w:tabs>
          <w:tab w:val="num" w:pos="5040"/>
        </w:tabs>
        <w:ind w:left="5040" w:hanging="360"/>
      </w:pPr>
      <w:rPr>
        <w:rFonts w:ascii="Arial" w:hAnsi="Arial" w:hint="default"/>
      </w:rPr>
    </w:lvl>
    <w:lvl w:ilvl="7" w:tplc="0FDCC5B2" w:tentative="1">
      <w:start w:val="1"/>
      <w:numFmt w:val="bullet"/>
      <w:lvlText w:val="•"/>
      <w:lvlJc w:val="left"/>
      <w:pPr>
        <w:tabs>
          <w:tab w:val="num" w:pos="5760"/>
        </w:tabs>
        <w:ind w:left="5760" w:hanging="360"/>
      </w:pPr>
      <w:rPr>
        <w:rFonts w:ascii="Arial" w:hAnsi="Arial" w:hint="default"/>
      </w:rPr>
    </w:lvl>
    <w:lvl w:ilvl="8" w:tplc="B6DA44DA" w:tentative="1">
      <w:start w:val="1"/>
      <w:numFmt w:val="bullet"/>
      <w:lvlText w:val="•"/>
      <w:lvlJc w:val="left"/>
      <w:pPr>
        <w:tabs>
          <w:tab w:val="num" w:pos="6480"/>
        </w:tabs>
        <w:ind w:left="6480" w:hanging="360"/>
      </w:pPr>
      <w:rPr>
        <w:rFonts w:ascii="Arial" w:hAnsi="Arial" w:hint="default"/>
      </w:rPr>
    </w:lvl>
  </w:abstractNum>
  <w:num w:numId="1" w16cid:durableId="1986885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77"/>
    <w:rsid w:val="00211A48"/>
    <w:rsid w:val="00560788"/>
    <w:rsid w:val="005765B7"/>
    <w:rsid w:val="00946D77"/>
    <w:rsid w:val="00B957CF"/>
    <w:rsid w:val="00D44381"/>
    <w:rsid w:val="00E6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1DF2"/>
  <w15:chartTrackingRefBased/>
  <w15:docId w15:val="{4DD5E717-F76C-4C2E-83C7-59A52071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D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46D77"/>
    <w:rPr>
      <w:color w:val="0000FF"/>
      <w:u w:val="single"/>
    </w:rPr>
  </w:style>
  <w:style w:type="paragraph" w:styleId="ListParagraph">
    <w:name w:val="List Paragraph"/>
    <w:basedOn w:val="Normal"/>
    <w:uiPriority w:val="34"/>
    <w:qFormat/>
    <w:rsid w:val="00E656E7"/>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2665">
      <w:bodyDiv w:val="1"/>
      <w:marLeft w:val="0"/>
      <w:marRight w:val="0"/>
      <w:marTop w:val="0"/>
      <w:marBottom w:val="0"/>
      <w:divBdr>
        <w:top w:val="none" w:sz="0" w:space="0" w:color="auto"/>
        <w:left w:val="none" w:sz="0" w:space="0" w:color="auto"/>
        <w:bottom w:val="none" w:sz="0" w:space="0" w:color="auto"/>
        <w:right w:val="none" w:sz="0" w:space="0" w:color="auto"/>
      </w:divBdr>
      <w:divsChild>
        <w:div w:id="1080785496">
          <w:marLeft w:val="360"/>
          <w:marRight w:val="0"/>
          <w:marTop w:val="200"/>
          <w:marBottom w:val="0"/>
          <w:divBdr>
            <w:top w:val="none" w:sz="0" w:space="0" w:color="auto"/>
            <w:left w:val="none" w:sz="0" w:space="0" w:color="auto"/>
            <w:bottom w:val="none" w:sz="0" w:space="0" w:color="auto"/>
            <w:right w:val="none" w:sz="0" w:space="0" w:color="auto"/>
          </w:divBdr>
        </w:div>
      </w:divsChild>
    </w:div>
    <w:div w:id="1020204519">
      <w:bodyDiv w:val="1"/>
      <w:marLeft w:val="0"/>
      <w:marRight w:val="0"/>
      <w:marTop w:val="0"/>
      <w:marBottom w:val="0"/>
      <w:divBdr>
        <w:top w:val="none" w:sz="0" w:space="0" w:color="auto"/>
        <w:left w:val="none" w:sz="0" w:space="0" w:color="auto"/>
        <w:bottom w:val="none" w:sz="0" w:space="0" w:color="auto"/>
        <w:right w:val="none" w:sz="0" w:space="0" w:color="auto"/>
      </w:divBdr>
    </w:div>
    <w:div w:id="1090664499">
      <w:bodyDiv w:val="1"/>
      <w:marLeft w:val="0"/>
      <w:marRight w:val="0"/>
      <w:marTop w:val="0"/>
      <w:marBottom w:val="0"/>
      <w:divBdr>
        <w:top w:val="none" w:sz="0" w:space="0" w:color="auto"/>
        <w:left w:val="none" w:sz="0" w:space="0" w:color="auto"/>
        <w:bottom w:val="none" w:sz="0" w:space="0" w:color="auto"/>
        <w:right w:val="none" w:sz="0" w:space="0" w:color="auto"/>
      </w:divBdr>
      <w:divsChild>
        <w:div w:id="15154189">
          <w:marLeft w:val="360"/>
          <w:marRight w:val="0"/>
          <w:marTop w:val="200"/>
          <w:marBottom w:val="0"/>
          <w:divBdr>
            <w:top w:val="none" w:sz="0" w:space="0" w:color="auto"/>
            <w:left w:val="none" w:sz="0" w:space="0" w:color="auto"/>
            <w:bottom w:val="none" w:sz="0" w:space="0" w:color="auto"/>
            <w:right w:val="none" w:sz="0" w:space="0" w:color="auto"/>
          </w:divBdr>
        </w:div>
        <w:div w:id="18305561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email.nih.gov/bds/Login.do"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s.od.nih.gov/ser/dpsac/administrators/DPSAC-process-overview/Pages/default.aspx" TargetMode="External"/><Relationship Id="rId11" Type="http://schemas.openxmlformats.org/officeDocument/2006/relationships/customXml" Target="../customXml/item2.xml"/><Relationship Id="rId5" Type="http://schemas.openxmlformats.org/officeDocument/2006/relationships/hyperlink" Target="https://www.nih.gov/about-nih/visitor-information"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6A44BBC6424D8ED11171F151309D" ma:contentTypeVersion="2" ma:contentTypeDescription="Create a new document." ma:contentTypeScope="" ma:versionID="fd9a07104e84877cdd1cddd2b602b787">
  <xsd:schema xmlns:xsd="http://www.w3.org/2001/XMLSchema" xmlns:xs="http://www.w3.org/2001/XMLSchema" xmlns:p="http://schemas.microsoft.com/office/2006/metadata/properties" xmlns:ns1="http://schemas.microsoft.com/sharepoint/v3" targetNamespace="http://schemas.microsoft.com/office/2006/metadata/properties" ma:root="true" ma:fieldsID="5c8ee118062cf5e7452eca769896f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BCC9F-3DE7-419C-BF32-FB477E043345}"/>
</file>

<file path=customXml/itemProps2.xml><?xml version="1.0" encoding="utf-8"?>
<ds:datastoreItem xmlns:ds="http://schemas.openxmlformats.org/officeDocument/2006/customXml" ds:itemID="{2EA7D2F9-EA6B-45F2-9C81-4B12379CB8BB}"/>
</file>

<file path=customXml/itemProps3.xml><?xml version="1.0" encoding="utf-8"?>
<ds:datastoreItem xmlns:ds="http://schemas.openxmlformats.org/officeDocument/2006/customXml" ds:itemID="{376F4149-67AD-4708-974B-5353544CFAE1}"/>
</file>

<file path=docProps/app.xml><?xml version="1.0" encoding="utf-8"?>
<Properties xmlns="http://schemas.openxmlformats.org/officeDocument/2006/extended-properties" xmlns:vt="http://schemas.openxmlformats.org/officeDocument/2006/docPropsVTypes">
  <Template>Normal</Template>
  <TotalTime>16</TotalTime>
  <Pages>2</Pages>
  <Words>371</Words>
  <Characters>2115</Characters>
  <Application>Microsoft Office Word</Application>
  <DocSecurity>0</DocSecurity>
  <Lines>17</Lines>
  <Paragraphs>4</Paragraphs>
  <ScaleCrop>false</ScaleCrop>
  <Company>ORS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Biggins, Tim (NIH/OD/ORF) [C]</dc:creator>
  <cp:keywords/>
  <dc:description/>
  <cp:lastModifiedBy>Biggins, Tim (NIH/OD/ORF) [C]</cp:lastModifiedBy>
  <cp:revision>2</cp:revision>
  <dcterms:created xsi:type="dcterms:W3CDTF">2024-04-04T19:40:00Z</dcterms:created>
  <dcterms:modified xsi:type="dcterms:W3CDTF">2024-04-04T19:56:00Z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0x010100E1EF6A44BBC6424D8ED11171F151309D</vt:lpwstr>
  </property>
</Properties>
</file>